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79BE9" w14:textId="77777777" w:rsidR="006A76BA" w:rsidRPr="006A76BA" w:rsidRDefault="006A76BA" w:rsidP="006A76BA">
      <w:pPr>
        <w:pStyle w:val="NoSpacing"/>
        <w:jc w:val="center"/>
        <w:rPr>
          <w:rFonts w:ascii="Century Gothic" w:hAnsi="Century Gothic" w:cs="Arial"/>
          <w:b/>
          <w:bCs/>
          <w:sz w:val="44"/>
          <w:szCs w:val="44"/>
          <w:lang w:val="en-US"/>
        </w:rPr>
      </w:pPr>
      <w:r w:rsidRPr="006A76BA">
        <w:rPr>
          <w:rFonts w:ascii="Century Gothic" w:hAnsi="Century Gothic" w:cs="Arial"/>
          <w:b/>
          <w:bCs/>
          <w:sz w:val="44"/>
          <w:szCs w:val="44"/>
          <w:lang w:val="en-US"/>
        </w:rPr>
        <w:t xml:space="preserve">ZIMBABWE CONGRESS OF TRADE UNIONS </w:t>
      </w:r>
    </w:p>
    <w:p w14:paraId="3794F7F0" w14:textId="00273136" w:rsidR="006A76BA" w:rsidRPr="006A76BA" w:rsidRDefault="006A76BA" w:rsidP="006A76BA">
      <w:pPr>
        <w:pStyle w:val="NoSpacing"/>
        <w:jc w:val="center"/>
        <w:rPr>
          <w:rFonts w:ascii="Century Gothic" w:hAnsi="Century Gothic" w:cs="Arial"/>
          <w:b/>
          <w:bCs/>
          <w:noProof/>
          <w:sz w:val="36"/>
          <w:szCs w:val="36"/>
          <w:lang w:eastAsia="en-ZW"/>
        </w:rPr>
      </w:pPr>
      <w:r w:rsidRPr="006A76BA">
        <w:rPr>
          <w:rFonts w:ascii="Century Gothic" w:hAnsi="Century Gothic" w:cs="Arial"/>
          <w:b/>
          <w:bCs/>
          <w:sz w:val="36"/>
          <w:szCs w:val="36"/>
          <w:lang w:val="en-US"/>
        </w:rPr>
        <w:t>(ZCTU)</w:t>
      </w:r>
    </w:p>
    <w:p w14:paraId="1EFF96CE" w14:textId="4FF2FB06" w:rsidR="000A7C4A" w:rsidRPr="000A7C4A" w:rsidRDefault="006A76BA" w:rsidP="006A76BA">
      <w:pPr>
        <w:pStyle w:val="NoSpacing"/>
        <w:jc w:val="center"/>
        <w:rPr>
          <w:rFonts w:ascii="Century Gothic" w:hAnsi="Century Gothic" w:cs="Arial"/>
          <w:b/>
          <w:bCs/>
          <w:sz w:val="24"/>
          <w:szCs w:val="24"/>
          <w:lang w:val="en-US"/>
        </w:rPr>
      </w:pPr>
      <w:r w:rsidRPr="006A76BA">
        <w:rPr>
          <w:rFonts w:ascii="Century Gothic" w:hAnsi="Century Gothic" w:cs="Arial"/>
          <w:b/>
          <w:bCs/>
          <w:noProof/>
          <w:sz w:val="24"/>
          <w:szCs w:val="24"/>
          <w:lang w:eastAsia="en-ZW"/>
        </w:rPr>
        <w:drawing>
          <wp:inline distT="0" distB="0" distL="0" distR="0" wp14:anchorId="3A373ED8" wp14:editId="6E60222E">
            <wp:extent cx="1362005" cy="1128835"/>
            <wp:effectExtent l="0" t="0" r="0" b="0"/>
            <wp:docPr id="1" name="Picture 1" descr="C:\Users\The Worker\Desktop\PHOTOS\zctu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Worker\Desktop\PHOTOS\zctu log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412" cy="1131659"/>
                    </a:xfrm>
                    <a:prstGeom prst="rect">
                      <a:avLst/>
                    </a:prstGeom>
                    <a:noFill/>
                    <a:ln>
                      <a:noFill/>
                    </a:ln>
                  </pic:spPr>
                </pic:pic>
              </a:graphicData>
            </a:graphic>
          </wp:inline>
        </w:drawing>
      </w:r>
      <w:bookmarkStart w:id="0" w:name="_GoBack"/>
      <w:bookmarkEnd w:id="0"/>
    </w:p>
    <w:p w14:paraId="4E491B2D" w14:textId="77777777" w:rsidR="000A7C4A" w:rsidRPr="000A7C4A" w:rsidRDefault="000A7C4A" w:rsidP="001E2D00">
      <w:pPr>
        <w:pStyle w:val="NoSpacing"/>
        <w:rPr>
          <w:rFonts w:ascii="Century Gothic" w:hAnsi="Century Gothic" w:cs="Arial"/>
          <w:b/>
          <w:bCs/>
          <w:sz w:val="24"/>
          <w:szCs w:val="24"/>
          <w:lang w:val="en-US"/>
        </w:rPr>
      </w:pPr>
    </w:p>
    <w:p w14:paraId="056E0F92" w14:textId="4ED2C447" w:rsidR="001758C7" w:rsidRPr="000A7C4A" w:rsidRDefault="001E2D00" w:rsidP="000A7C4A">
      <w:pPr>
        <w:pStyle w:val="NoSpacing"/>
        <w:pBdr>
          <w:bottom w:val="single" w:sz="4" w:space="1" w:color="auto"/>
        </w:pBdr>
        <w:jc w:val="center"/>
        <w:rPr>
          <w:rFonts w:ascii="Century Gothic" w:hAnsi="Century Gothic" w:cs="Arial"/>
          <w:b/>
          <w:bCs/>
          <w:sz w:val="24"/>
          <w:szCs w:val="24"/>
          <w:lang w:val="en-US"/>
        </w:rPr>
      </w:pPr>
      <w:r w:rsidRPr="000A7C4A">
        <w:rPr>
          <w:rFonts w:ascii="Century Gothic" w:hAnsi="Century Gothic" w:cs="Arial"/>
          <w:b/>
          <w:bCs/>
          <w:sz w:val="24"/>
          <w:szCs w:val="24"/>
          <w:lang w:val="en-US"/>
        </w:rPr>
        <w:t>ANALYSIS AND CRITIQUE OF THE 2026 NATIONAL BUDGET</w:t>
      </w:r>
    </w:p>
    <w:p w14:paraId="080335F3" w14:textId="77777777" w:rsidR="001E2D00" w:rsidRPr="000A7C4A" w:rsidRDefault="001E2D00" w:rsidP="001E2D00">
      <w:pPr>
        <w:pStyle w:val="NoSpacing"/>
        <w:rPr>
          <w:rFonts w:ascii="Century Gothic" w:hAnsi="Century Gothic" w:cs="Arial"/>
          <w:sz w:val="24"/>
          <w:szCs w:val="24"/>
          <w:lang w:val="en-US"/>
        </w:rPr>
      </w:pPr>
    </w:p>
    <w:p w14:paraId="4772152C" w14:textId="2AD67277" w:rsidR="001E2D00" w:rsidRPr="000A7C4A" w:rsidRDefault="005500CE" w:rsidP="005500CE">
      <w:pPr>
        <w:pStyle w:val="NoSpacing"/>
        <w:rPr>
          <w:rFonts w:ascii="Century Gothic" w:hAnsi="Century Gothic" w:cs="Arial"/>
          <w:lang w:val="en-US"/>
        </w:rPr>
      </w:pPr>
      <w:r w:rsidRPr="000A7C4A">
        <w:rPr>
          <w:rFonts w:ascii="Century Gothic" w:hAnsi="Century Gothic" w:cs="Arial"/>
          <w:lang w:val="en-US"/>
        </w:rPr>
        <w:t>1.0</w:t>
      </w:r>
      <w:r w:rsidRPr="000A7C4A">
        <w:rPr>
          <w:rFonts w:ascii="Century Gothic" w:hAnsi="Century Gothic" w:cs="Arial"/>
          <w:lang w:val="en-US"/>
        </w:rPr>
        <w:tab/>
      </w:r>
      <w:r w:rsidR="001E2D00" w:rsidRPr="000A7C4A">
        <w:rPr>
          <w:rFonts w:ascii="Century Gothic" w:hAnsi="Century Gothic" w:cs="Arial"/>
          <w:b/>
          <w:bCs/>
          <w:lang w:val="en-US"/>
        </w:rPr>
        <w:t>Introduction</w:t>
      </w:r>
    </w:p>
    <w:p w14:paraId="382FD371" w14:textId="77777777" w:rsidR="001E2D00" w:rsidRPr="000A7C4A" w:rsidRDefault="001E2D00" w:rsidP="001E2D00">
      <w:pPr>
        <w:pStyle w:val="NoSpacing"/>
        <w:rPr>
          <w:rFonts w:ascii="Century Gothic" w:hAnsi="Century Gothic" w:cs="Arial"/>
          <w:lang w:val="en-US"/>
        </w:rPr>
      </w:pPr>
    </w:p>
    <w:p w14:paraId="37F6472B" w14:textId="3B1D0C51" w:rsidR="001E2D00" w:rsidRPr="000A7C4A" w:rsidRDefault="001E2D00" w:rsidP="002953CA">
      <w:pPr>
        <w:pStyle w:val="NoSpacing"/>
        <w:jc w:val="both"/>
        <w:rPr>
          <w:rFonts w:ascii="Century Gothic" w:hAnsi="Century Gothic" w:cs="Arial"/>
        </w:rPr>
      </w:pPr>
      <w:r w:rsidRPr="000A7C4A">
        <w:rPr>
          <w:rFonts w:ascii="Century Gothic" w:hAnsi="Century Gothic" w:cs="Arial"/>
          <w:lang w:val="en-US"/>
        </w:rPr>
        <w:t>On the 27</w:t>
      </w:r>
      <w:r w:rsidRPr="000A7C4A">
        <w:rPr>
          <w:rFonts w:ascii="Century Gothic" w:hAnsi="Century Gothic" w:cs="Arial"/>
          <w:vertAlign w:val="superscript"/>
          <w:lang w:val="en-US"/>
        </w:rPr>
        <w:t>th</w:t>
      </w:r>
      <w:r w:rsidRPr="000A7C4A">
        <w:rPr>
          <w:rFonts w:ascii="Century Gothic" w:hAnsi="Century Gothic" w:cs="Arial"/>
          <w:lang w:val="en-US"/>
        </w:rPr>
        <w:t xml:space="preserve"> of November 2025, the Minister of Finance, Economic Development and Investment Promotion, Hon. Professor Mthuli Ncube presented </w:t>
      </w:r>
      <w:r w:rsidR="00547384" w:rsidRPr="000A7C4A">
        <w:rPr>
          <w:rFonts w:ascii="Century Gothic" w:hAnsi="Century Gothic" w:cs="Arial"/>
        </w:rPr>
        <w:t>to the Parliament of Zimbabwe</w:t>
      </w:r>
      <w:r w:rsidR="00547384" w:rsidRPr="000A7C4A">
        <w:rPr>
          <w:rFonts w:ascii="Century Gothic" w:hAnsi="Century Gothic" w:cs="Arial"/>
          <w:lang w:val="en-US"/>
        </w:rPr>
        <w:t xml:space="preserve"> </w:t>
      </w:r>
      <w:r w:rsidRPr="000A7C4A">
        <w:rPr>
          <w:rFonts w:ascii="Century Gothic" w:hAnsi="Century Gothic" w:cs="Arial"/>
          <w:lang w:val="en-US"/>
        </w:rPr>
        <w:t xml:space="preserve">the 2026 National Budget providing </w:t>
      </w:r>
      <w:r w:rsidRPr="000A7C4A">
        <w:rPr>
          <w:rFonts w:ascii="Century Gothic" w:hAnsi="Century Gothic" w:cs="Arial"/>
        </w:rPr>
        <w:t>estimated revenues and expenditures of the Government for 2026. The theme of the budget statement is “</w:t>
      </w:r>
      <w:r w:rsidRPr="000A7C4A">
        <w:rPr>
          <w:rFonts w:ascii="Century Gothic" w:hAnsi="Century Gothic" w:cs="Arial"/>
          <w:i/>
          <w:iCs/>
        </w:rPr>
        <w:t>Enhancing Drivers of Economic Growth and Transformation Towards Vision 2030.”</w:t>
      </w:r>
      <w:r w:rsidRPr="000A7C4A">
        <w:rPr>
          <w:rFonts w:ascii="Century Gothic" w:hAnsi="Century Gothic" w:cs="Arial"/>
        </w:rPr>
        <w:t xml:space="preserve"> </w:t>
      </w:r>
      <w:r w:rsidR="00AA4F03" w:rsidRPr="000A7C4A">
        <w:rPr>
          <w:rFonts w:ascii="Century Gothic" w:hAnsi="Century Gothic" w:cs="Arial"/>
        </w:rPr>
        <w:t xml:space="preserve">The context is that the 2026 National Budget marks the beginning of the implementation of the second five-year National Development Strategy (NDS2) (2026-2030), which is an integral part of Vision 2030. </w:t>
      </w:r>
      <w:r w:rsidR="002953CA" w:rsidRPr="000A7C4A">
        <w:rPr>
          <w:rFonts w:ascii="Century Gothic" w:hAnsi="Century Gothic" w:cs="Arial"/>
        </w:rPr>
        <w:t>As such, the 2026 National Budget highlights the desire to expand on the gains of NDS1, while promoting durable and enduring macroeconomic stability.</w:t>
      </w:r>
    </w:p>
    <w:p w14:paraId="5E809308" w14:textId="77777777" w:rsidR="00AA4F03" w:rsidRPr="000A7C4A" w:rsidRDefault="00AA4F03" w:rsidP="00AA4F03">
      <w:pPr>
        <w:pStyle w:val="NoSpacing"/>
        <w:jc w:val="both"/>
        <w:rPr>
          <w:rFonts w:ascii="Century Gothic" w:hAnsi="Century Gothic" w:cs="Arial"/>
        </w:rPr>
      </w:pPr>
    </w:p>
    <w:p w14:paraId="4E636B1E" w14:textId="34FFA08F" w:rsidR="00B5290F" w:rsidRPr="000A7C4A" w:rsidRDefault="002953CA" w:rsidP="00A011AF">
      <w:pPr>
        <w:pStyle w:val="NoSpacing"/>
        <w:jc w:val="both"/>
        <w:rPr>
          <w:rFonts w:ascii="Century Gothic" w:hAnsi="Century Gothic" w:cs="Arial"/>
        </w:rPr>
      </w:pPr>
      <w:r w:rsidRPr="000A7C4A">
        <w:rPr>
          <w:rFonts w:ascii="Century Gothic" w:hAnsi="Century Gothic" w:cs="Arial"/>
          <w:lang w:val="en-US"/>
        </w:rPr>
        <w:t xml:space="preserve">The National Budget also comes at a time of heightened global geo-political tensions, weaponization of tariffs, uncertainty and weak external demand, which hold back prospects for robust growth. Consequently, </w:t>
      </w:r>
      <w:r w:rsidR="000F57FC" w:rsidRPr="000A7C4A">
        <w:rPr>
          <w:rFonts w:ascii="Century Gothic" w:hAnsi="Century Gothic" w:cs="Arial"/>
          <w:lang w:val="en-US"/>
        </w:rPr>
        <w:t xml:space="preserve">global economic growth is projected to moderate from 3.3% in 2024, to 3.2% in 2025 and 3.1% in 2026, and </w:t>
      </w:r>
      <w:r w:rsidRPr="000A7C4A">
        <w:rPr>
          <w:rFonts w:ascii="Century Gothic" w:hAnsi="Century Gothic" w:cs="Arial"/>
          <w:lang w:val="en-US"/>
        </w:rPr>
        <w:t>growth in advanced economies is projected to slow from 1.6% in 2024 to 1.6% in 2025 and 2026.</w:t>
      </w:r>
      <w:r w:rsidR="000F57FC" w:rsidRPr="000A7C4A">
        <w:rPr>
          <w:rFonts w:ascii="Century Gothic" w:hAnsi="Century Gothic" w:cs="Arial"/>
          <w:lang w:val="en-US"/>
        </w:rPr>
        <w:t xml:space="preserve"> On a positive note, global economic activity could benefit from the gradual easing of monetary and fiscal policy, against declining inflation outlook. </w:t>
      </w:r>
      <w:r w:rsidR="00B5290F" w:rsidRPr="000A7C4A">
        <w:rPr>
          <w:rFonts w:ascii="Century Gothic" w:hAnsi="Century Gothic" w:cs="Arial"/>
          <w:lang w:val="en-US"/>
        </w:rPr>
        <w:t>Global inflation continues its downward trend in the post-pandemic period</w:t>
      </w:r>
      <w:r w:rsidR="00A011AF" w:rsidRPr="000A7C4A">
        <w:rPr>
          <w:rFonts w:ascii="Century Gothic" w:hAnsi="Century Gothic" w:cs="Arial"/>
          <w:lang w:val="en-US"/>
        </w:rPr>
        <w:t xml:space="preserve">, </w:t>
      </w:r>
      <w:r w:rsidR="00B5290F" w:rsidRPr="000A7C4A">
        <w:rPr>
          <w:rFonts w:ascii="Century Gothic" w:hAnsi="Century Gothic" w:cs="Arial"/>
          <w:lang w:val="en-US"/>
        </w:rPr>
        <w:t xml:space="preserve">and commodity price shocks, </w:t>
      </w:r>
      <w:r w:rsidR="00A011AF" w:rsidRPr="000A7C4A">
        <w:rPr>
          <w:rFonts w:ascii="Century Gothic" w:hAnsi="Century Gothic" w:cs="Arial"/>
          <w:lang w:val="en-US"/>
        </w:rPr>
        <w:t xml:space="preserve">easing from </w:t>
      </w:r>
      <w:r w:rsidR="00B5290F" w:rsidRPr="000A7C4A">
        <w:rPr>
          <w:rFonts w:ascii="Century Gothic" w:hAnsi="Century Gothic" w:cs="Arial"/>
          <w:lang w:val="en-US"/>
        </w:rPr>
        <w:t xml:space="preserve">5.6% in 2024, to </w:t>
      </w:r>
      <w:r w:rsidR="00A011AF" w:rsidRPr="000A7C4A">
        <w:rPr>
          <w:rFonts w:ascii="Century Gothic" w:hAnsi="Century Gothic" w:cs="Arial"/>
          <w:lang w:val="en-US"/>
        </w:rPr>
        <w:t xml:space="preserve">a projected </w:t>
      </w:r>
      <w:r w:rsidR="00B5290F" w:rsidRPr="000A7C4A">
        <w:rPr>
          <w:rFonts w:ascii="Century Gothic" w:hAnsi="Century Gothic" w:cs="Arial"/>
          <w:lang w:val="en-US"/>
        </w:rPr>
        <w:t>4.2% in 2025 and further to 3.7% in 2026, before stabilizing around 3% by 2030.</w:t>
      </w:r>
    </w:p>
    <w:p w14:paraId="3775E658" w14:textId="77777777" w:rsidR="00B5290F" w:rsidRPr="000A7C4A" w:rsidRDefault="00B5290F" w:rsidP="00A011AF">
      <w:pPr>
        <w:pStyle w:val="NoSpacing"/>
        <w:jc w:val="both"/>
        <w:rPr>
          <w:rFonts w:ascii="Century Gothic" w:hAnsi="Century Gothic" w:cs="Arial"/>
          <w:lang w:val="en-US"/>
        </w:rPr>
      </w:pPr>
    </w:p>
    <w:p w14:paraId="130B81B3" w14:textId="7124A7D8" w:rsidR="00A47F7D" w:rsidRPr="000A7C4A" w:rsidRDefault="00227680" w:rsidP="00A47F7D">
      <w:pPr>
        <w:pStyle w:val="NoSpacing"/>
        <w:jc w:val="both"/>
        <w:rPr>
          <w:rFonts w:ascii="Century Gothic" w:hAnsi="Century Gothic" w:cs="Arial"/>
          <w:lang w:val="en-US"/>
        </w:rPr>
      </w:pPr>
      <w:r w:rsidRPr="000A7C4A">
        <w:rPr>
          <w:rFonts w:ascii="Century Gothic" w:hAnsi="Century Gothic" w:cs="Arial"/>
          <w:lang w:val="en-US"/>
        </w:rPr>
        <w:t>Significantly, t</w:t>
      </w:r>
      <w:r w:rsidR="000F57FC" w:rsidRPr="000A7C4A">
        <w:rPr>
          <w:rFonts w:ascii="Century Gothic" w:hAnsi="Century Gothic" w:cs="Arial"/>
        </w:rPr>
        <w:t xml:space="preserve">he medium-term </w:t>
      </w:r>
      <w:r w:rsidR="00B5290F" w:rsidRPr="000A7C4A">
        <w:rPr>
          <w:rFonts w:ascii="Century Gothic" w:hAnsi="Century Gothic" w:cs="Arial"/>
        </w:rPr>
        <w:t xml:space="preserve">global economic </w:t>
      </w:r>
      <w:r w:rsidR="000F57FC" w:rsidRPr="000A7C4A">
        <w:rPr>
          <w:rFonts w:ascii="Century Gothic" w:hAnsi="Century Gothic" w:cs="Arial"/>
        </w:rPr>
        <w:t xml:space="preserve">outlook remains </w:t>
      </w:r>
      <w:r w:rsidR="000F57FC" w:rsidRPr="000A7C4A">
        <w:rPr>
          <w:rFonts w:ascii="Century Gothic" w:hAnsi="Century Gothic" w:cs="Arial"/>
          <w:lang w:val="en-US"/>
        </w:rPr>
        <w:t xml:space="preserve">below the pre-pandemic average of 3.7%, </w:t>
      </w:r>
      <w:r w:rsidRPr="000A7C4A">
        <w:rPr>
          <w:rFonts w:ascii="Century Gothic" w:hAnsi="Century Gothic" w:cs="Arial"/>
          <w:lang w:val="en-US"/>
        </w:rPr>
        <w:t>reflecting uncertainty associated with elevated geo-political tensions, reciprocal tariffs and trade restrictions</w:t>
      </w:r>
      <w:r w:rsidR="000F57FC" w:rsidRPr="000A7C4A">
        <w:rPr>
          <w:rFonts w:ascii="Century Gothic" w:hAnsi="Century Gothic" w:cs="Arial"/>
          <w:lang w:val="en-US"/>
        </w:rPr>
        <w:t>.</w:t>
      </w:r>
      <w:r w:rsidRPr="000A7C4A">
        <w:rPr>
          <w:rFonts w:ascii="Century Gothic" w:hAnsi="Century Gothic" w:cs="Arial"/>
          <w:lang w:val="en-US"/>
        </w:rPr>
        <w:t xml:space="preserve"> </w:t>
      </w:r>
      <w:r w:rsidRPr="000A7C4A">
        <w:rPr>
          <w:rFonts w:ascii="Century Gothic" w:hAnsi="Century Gothic" w:cs="Arial"/>
        </w:rPr>
        <w:t>Closer home, growth in Sub-Saharan Africa (</w:t>
      </w:r>
      <w:r w:rsidRPr="000A7C4A">
        <w:rPr>
          <w:rFonts w:ascii="Century Gothic" w:hAnsi="Century Gothic" w:cs="Arial"/>
          <w:lang w:val="en-US"/>
        </w:rPr>
        <w:t xml:space="preserve">SSA) is expected to strengthen from 4.1% in 2024 and 2025 to 4.4% in 2026. However, this growth performance is still below pre-pandemic averages. </w:t>
      </w:r>
      <w:r w:rsidR="00B5290F" w:rsidRPr="000A7C4A">
        <w:rPr>
          <w:rFonts w:ascii="Century Gothic" w:hAnsi="Century Gothic" w:cs="Arial"/>
          <w:lang w:val="en-US"/>
        </w:rPr>
        <w:t xml:space="preserve">Regional – SADC - growth is projected to improve from 2.6% in 2024, to 2.9% in 2025 and 3.0% in 2026, below the sub-Saharan Africa average, reflecting structural weaknesses, financing constraints, energy deficits and high debt levels in </w:t>
      </w:r>
      <w:r w:rsidR="00B5290F" w:rsidRPr="000A7C4A">
        <w:rPr>
          <w:rFonts w:ascii="Century Gothic" w:hAnsi="Century Gothic" w:cs="Arial"/>
        </w:rPr>
        <w:t>several member states.</w:t>
      </w:r>
      <w:r w:rsidR="00A47F7D" w:rsidRPr="000A7C4A">
        <w:rPr>
          <w:rFonts w:ascii="Century Gothic" w:hAnsi="Century Gothic" w:cs="Arial"/>
        </w:rPr>
        <w:t xml:space="preserve"> </w:t>
      </w:r>
      <w:r w:rsidR="00A47F7D" w:rsidRPr="000A7C4A">
        <w:rPr>
          <w:rFonts w:ascii="Century Gothic" w:hAnsi="Century Gothic" w:cs="Arial"/>
          <w:lang w:val="en-US"/>
        </w:rPr>
        <w:t xml:space="preserve">In the context of declining commodity prices, precious metals are the main outlier, with gold and silver prices expected to remain at record high levels in 2025 and 2026. Gold is projected to sustain levels of over 150% above its 2015 - 2019 average price on account of its safe-haven investment status amid global trade and geo-political tensions. </w:t>
      </w:r>
    </w:p>
    <w:p w14:paraId="0FBDA3C2" w14:textId="77777777" w:rsidR="005500CE" w:rsidRPr="000A7C4A" w:rsidRDefault="005500CE" w:rsidP="00227680">
      <w:pPr>
        <w:pStyle w:val="NoSpacing"/>
        <w:jc w:val="both"/>
        <w:rPr>
          <w:rFonts w:ascii="Century Gothic" w:hAnsi="Century Gothic" w:cs="Arial"/>
          <w:lang w:val="en-US"/>
        </w:rPr>
      </w:pPr>
    </w:p>
    <w:p w14:paraId="2A3367A5" w14:textId="5E65D15C" w:rsidR="005500CE" w:rsidRPr="000A7C4A" w:rsidRDefault="005500CE" w:rsidP="00227680">
      <w:pPr>
        <w:pStyle w:val="NoSpacing"/>
        <w:jc w:val="both"/>
        <w:rPr>
          <w:rFonts w:ascii="Century Gothic" w:hAnsi="Century Gothic" w:cs="Arial"/>
          <w:b/>
          <w:bCs/>
          <w:lang w:val="en-US"/>
        </w:rPr>
      </w:pPr>
      <w:r w:rsidRPr="000A7C4A">
        <w:rPr>
          <w:rFonts w:ascii="Century Gothic" w:hAnsi="Century Gothic" w:cs="Arial"/>
          <w:lang w:val="en-US"/>
        </w:rPr>
        <w:t>2.0</w:t>
      </w:r>
      <w:r w:rsidR="00A47F7D" w:rsidRPr="000A7C4A">
        <w:rPr>
          <w:rFonts w:ascii="Century Gothic" w:hAnsi="Century Gothic" w:cs="Arial"/>
          <w:lang w:val="en-US"/>
        </w:rPr>
        <w:tab/>
      </w:r>
      <w:r w:rsidR="00A47F7D" w:rsidRPr="000A7C4A">
        <w:rPr>
          <w:rFonts w:ascii="Century Gothic" w:hAnsi="Century Gothic" w:cs="Arial"/>
          <w:b/>
          <w:bCs/>
          <w:lang w:val="en-US"/>
        </w:rPr>
        <w:t>Domestic Economic Performance: Some Positive Developments</w:t>
      </w:r>
    </w:p>
    <w:p w14:paraId="7B3AE9BA" w14:textId="1A37E379" w:rsidR="005500CE" w:rsidRPr="000A7C4A" w:rsidRDefault="00990D37" w:rsidP="00227680">
      <w:pPr>
        <w:pStyle w:val="NoSpacing"/>
        <w:jc w:val="both"/>
        <w:rPr>
          <w:rFonts w:ascii="Century Gothic" w:hAnsi="Century Gothic" w:cs="Arial"/>
          <w:lang w:val="en-US"/>
        </w:rPr>
      </w:pPr>
      <w:r w:rsidRPr="000A7C4A">
        <w:rPr>
          <w:rFonts w:ascii="Century Gothic" w:hAnsi="Century Gothic" w:cs="Arial"/>
          <w:lang w:val="en-US"/>
        </w:rPr>
        <w:lastRenderedPageBreak/>
        <w:t>2.1</w:t>
      </w:r>
      <w:r w:rsidRPr="000A7C4A">
        <w:rPr>
          <w:rFonts w:ascii="Century Gothic" w:hAnsi="Century Gothic" w:cs="Arial"/>
          <w:lang w:val="en-US"/>
        </w:rPr>
        <w:tab/>
      </w:r>
      <w:r w:rsidRPr="000A7C4A">
        <w:rPr>
          <w:rFonts w:ascii="Century Gothic" w:hAnsi="Century Gothic" w:cs="Arial"/>
          <w:b/>
          <w:bCs/>
          <w:lang w:val="en-US"/>
        </w:rPr>
        <w:t>Moderate economic growth</w:t>
      </w:r>
    </w:p>
    <w:p w14:paraId="695FA55D" w14:textId="77777777" w:rsidR="00990D37" w:rsidRPr="000A7C4A" w:rsidRDefault="00990D37" w:rsidP="00227680">
      <w:pPr>
        <w:pStyle w:val="NoSpacing"/>
        <w:jc w:val="both"/>
        <w:rPr>
          <w:rFonts w:ascii="Century Gothic" w:hAnsi="Century Gothic" w:cs="Arial"/>
          <w:lang w:val="en-US"/>
        </w:rPr>
      </w:pPr>
    </w:p>
    <w:p w14:paraId="0B81ECAC" w14:textId="55934336" w:rsidR="006914B2" w:rsidRPr="000A7C4A" w:rsidRDefault="00A47F7D" w:rsidP="006914B2">
      <w:pPr>
        <w:pStyle w:val="NoSpacing"/>
        <w:jc w:val="both"/>
        <w:rPr>
          <w:rFonts w:ascii="Century Gothic" w:hAnsi="Century Gothic" w:cs="Arial"/>
          <w:lang w:val="en-US"/>
        </w:rPr>
      </w:pPr>
      <w:r w:rsidRPr="000A7C4A">
        <w:rPr>
          <w:rFonts w:ascii="Century Gothic" w:hAnsi="Century Gothic" w:cs="Arial"/>
          <w:lang w:val="en-US"/>
        </w:rPr>
        <w:t>In 2025, ZIMSTAT revised the national accounts statistics after undertaking an economic census which covered all economic activities for the year 2023. As a result, GDP estimates for 2023 and 2024 were revalued upwards to approximately US$44.5 billion and US$45.7 billion, respectively. In 2025, nominal GDP is projected at US$52.4 billion and GNI per capita income of US$3 200. The economy is now projected to grow by 6.6% in 2025, an upward revision of 0.6 percentage points from the initial forecast of 6.0%.</w:t>
      </w:r>
      <w:r w:rsidRPr="000A7C4A">
        <w:rPr>
          <w:rFonts w:ascii="Century Gothic" w:hAnsi="Century Gothic" w:cs="Arial"/>
        </w:rPr>
        <w:t xml:space="preserve"> </w:t>
      </w:r>
      <w:r w:rsidRPr="000A7C4A">
        <w:rPr>
          <w:rFonts w:ascii="Century Gothic" w:hAnsi="Century Gothic" w:cs="Arial"/>
          <w:lang w:val="en-US"/>
        </w:rPr>
        <w:t xml:space="preserve">This rebound is on account of strong recovery in the agricultural sector, which is expected to record growth of 24% in 2025, the mining sector (7.3%), the manufacturing sector (4.2%), electricity generation </w:t>
      </w:r>
      <w:r w:rsidRPr="000A7C4A">
        <w:rPr>
          <w:rFonts w:ascii="Century Gothic" w:hAnsi="Century Gothic" w:cs="Arial"/>
        </w:rPr>
        <w:t xml:space="preserve">(6.7%), and construction (4.8%). </w:t>
      </w:r>
      <w:r w:rsidRPr="000A7C4A">
        <w:rPr>
          <w:rFonts w:ascii="Century Gothic" w:hAnsi="Century Gothic" w:cs="Arial"/>
          <w:lang w:val="en-US"/>
        </w:rPr>
        <w:t>Over the past five years, economic growth averaged 5.5% (6.3% adjusted for 2024 drought year), above the annual growth target of 5% under NDS1.</w:t>
      </w:r>
      <w:r w:rsidR="006914B2" w:rsidRPr="000A7C4A">
        <w:rPr>
          <w:rFonts w:ascii="Century Gothic" w:hAnsi="Century Gothic" w:cs="Arial"/>
          <w:lang w:val="en-US"/>
        </w:rPr>
        <w:t xml:space="preserve"> In 2026, economic growth is projected at 5.0%, driven by strong performance of key sectors, agriculture (5.4%), mining and quarrying (6.3%), manufacturing (3.7%), electricity generation (6.5%), and wholesale and retail trade (7.4%).</w:t>
      </w:r>
    </w:p>
    <w:p w14:paraId="75B009FD" w14:textId="77777777" w:rsidR="006914B2" w:rsidRPr="000A7C4A" w:rsidRDefault="006914B2" w:rsidP="006914B2">
      <w:pPr>
        <w:pStyle w:val="NoSpacing"/>
        <w:jc w:val="both"/>
        <w:rPr>
          <w:rFonts w:ascii="Century Gothic" w:hAnsi="Century Gothic" w:cs="Arial"/>
          <w:lang w:val="en-US"/>
        </w:rPr>
      </w:pPr>
    </w:p>
    <w:p w14:paraId="325F34E8" w14:textId="1C232BD3" w:rsidR="00990D37" w:rsidRPr="000A7C4A" w:rsidRDefault="00990D37" w:rsidP="00990D37">
      <w:pPr>
        <w:pStyle w:val="NoSpacing"/>
        <w:ind w:left="851" w:hanging="851"/>
        <w:rPr>
          <w:rFonts w:ascii="Century Gothic" w:hAnsi="Century Gothic" w:cs="Arial"/>
          <w:b/>
          <w:bCs/>
          <w:lang w:val="en-US"/>
        </w:rPr>
      </w:pPr>
      <w:r w:rsidRPr="000A7C4A">
        <w:rPr>
          <w:rFonts w:ascii="Century Gothic" w:hAnsi="Century Gothic" w:cs="Arial"/>
          <w:lang w:val="en-US"/>
        </w:rPr>
        <w:t>2.2</w:t>
      </w:r>
      <w:r w:rsidRPr="000A7C4A">
        <w:rPr>
          <w:rFonts w:ascii="Century Gothic" w:hAnsi="Century Gothic" w:cs="Arial"/>
          <w:lang w:val="en-US"/>
        </w:rPr>
        <w:tab/>
      </w:r>
      <w:r w:rsidRPr="000A7C4A">
        <w:rPr>
          <w:rFonts w:ascii="Century Gothic" w:hAnsi="Century Gothic" w:cs="Arial"/>
          <w:b/>
          <w:bCs/>
          <w:lang w:val="en-US"/>
        </w:rPr>
        <w:t>Relative currency and exchange rate stability, and receding inflation and inflationary pressures</w:t>
      </w:r>
    </w:p>
    <w:p w14:paraId="2BA2D737" w14:textId="77777777" w:rsidR="00990D37" w:rsidRPr="000A7C4A" w:rsidRDefault="00990D37" w:rsidP="006914B2">
      <w:pPr>
        <w:pStyle w:val="NoSpacing"/>
        <w:rPr>
          <w:rFonts w:ascii="Century Gothic" w:hAnsi="Century Gothic" w:cs="Arial"/>
          <w:lang w:val="en-US"/>
        </w:rPr>
      </w:pPr>
    </w:p>
    <w:p w14:paraId="6611EB1C" w14:textId="23E0200F" w:rsidR="004E5A06" w:rsidRPr="000A7C4A" w:rsidRDefault="00990D37" w:rsidP="004E5A06">
      <w:pPr>
        <w:pStyle w:val="NoSpacing"/>
        <w:jc w:val="both"/>
        <w:rPr>
          <w:rFonts w:ascii="Century Gothic" w:hAnsi="Century Gothic" w:cs="Arial"/>
          <w:lang w:val="en-US"/>
        </w:rPr>
      </w:pPr>
      <w:r w:rsidRPr="000A7C4A">
        <w:rPr>
          <w:rFonts w:ascii="Century Gothic" w:hAnsi="Century Gothic" w:cs="Arial"/>
          <w:lang w:val="en-US"/>
        </w:rPr>
        <w:t xml:space="preserve">The sustained implementation of a tight monetary and fiscal policy stance since September 2024 has firmly anchored price and exchange </w:t>
      </w:r>
      <w:r w:rsidRPr="000A7C4A">
        <w:rPr>
          <w:rFonts w:ascii="Century Gothic" w:hAnsi="Century Gothic" w:cs="Arial"/>
        </w:rPr>
        <w:t xml:space="preserve">rate stability. </w:t>
      </w:r>
      <w:r w:rsidRPr="000A7C4A">
        <w:rPr>
          <w:rFonts w:ascii="Century Gothic" w:hAnsi="Century Gothic" w:cs="Arial"/>
          <w:lang w:val="en-US"/>
        </w:rPr>
        <w:t xml:space="preserve">In 2025, the local currency, the </w:t>
      </w:r>
      <w:r w:rsidR="00330AA2" w:rsidRPr="000A7C4A">
        <w:rPr>
          <w:rFonts w:ascii="Century Gothic" w:hAnsi="Century Gothic" w:cs="Arial"/>
          <w:lang w:val="en-US"/>
        </w:rPr>
        <w:t>ZiG,</w:t>
      </w:r>
      <w:r w:rsidRPr="000A7C4A">
        <w:rPr>
          <w:rFonts w:ascii="Century Gothic" w:hAnsi="Century Gothic" w:cs="Arial"/>
          <w:lang w:val="en-US"/>
        </w:rPr>
        <w:t xml:space="preserve"> experienced stability in terms of exchange rate and a reduction in parallel premium ZIG-USD exchange rate. </w:t>
      </w:r>
      <w:r w:rsidR="004E5A06" w:rsidRPr="000A7C4A">
        <w:rPr>
          <w:rFonts w:ascii="Century Gothic" w:hAnsi="Century Gothic" w:cs="Arial"/>
          <w:lang w:val="en-US"/>
        </w:rPr>
        <w:t xml:space="preserve">The parallel market exchange rate premium narrowed from above 36% in January 2025, to about 20% by </w:t>
      </w:r>
      <w:r w:rsidR="004E5A06" w:rsidRPr="000A7C4A">
        <w:rPr>
          <w:rFonts w:ascii="Century Gothic" w:hAnsi="Century Gothic" w:cs="Arial"/>
        </w:rPr>
        <w:t xml:space="preserve">end of September 2025. </w:t>
      </w:r>
      <w:r w:rsidRPr="000A7C4A">
        <w:rPr>
          <w:rFonts w:ascii="Century Gothic" w:hAnsi="Century Gothic" w:cs="Arial"/>
          <w:lang w:val="en-US"/>
        </w:rPr>
        <w:t>As a result, m</w:t>
      </w:r>
      <w:r w:rsidR="006914B2" w:rsidRPr="000A7C4A">
        <w:rPr>
          <w:rFonts w:ascii="Century Gothic" w:hAnsi="Century Gothic" w:cs="Arial"/>
          <w:lang w:val="en-US"/>
        </w:rPr>
        <w:t>onthly ZiG inflation remained relatively stable, averaging 0.4% during the period February to October 2025.</w:t>
      </w:r>
      <w:r w:rsidRPr="000A7C4A">
        <w:rPr>
          <w:rFonts w:ascii="Century Gothic" w:hAnsi="Century Gothic" w:cs="Arial"/>
          <w:lang w:val="en-US"/>
        </w:rPr>
        <w:t xml:space="preserve"> </w:t>
      </w:r>
      <w:r w:rsidR="006914B2" w:rsidRPr="000A7C4A">
        <w:rPr>
          <w:rFonts w:ascii="Century Gothic" w:hAnsi="Century Gothic" w:cs="Arial"/>
          <w:lang w:val="en-US"/>
        </w:rPr>
        <w:t xml:space="preserve">This </w:t>
      </w:r>
      <w:r w:rsidRPr="000A7C4A">
        <w:rPr>
          <w:rFonts w:ascii="Century Gothic" w:hAnsi="Century Gothic" w:cs="Arial"/>
          <w:lang w:val="en-US"/>
        </w:rPr>
        <w:t xml:space="preserve">happened because </w:t>
      </w:r>
      <w:r w:rsidR="006914B2" w:rsidRPr="000A7C4A">
        <w:rPr>
          <w:rFonts w:ascii="Century Gothic" w:hAnsi="Century Gothic" w:cs="Arial"/>
          <w:lang w:val="en-US"/>
        </w:rPr>
        <w:t xml:space="preserve">of the complete </w:t>
      </w:r>
      <w:r w:rsidRPr="000A7C4A">
        <w:rPr>
          <w:rFonts w:ascii="Century Gothic" w:hAnsi="Century Gothic" w:cs="Arial"/>
          <w:lang w:val="en-US"/>
        </w:rPr>
        <w:t xml:space="preserve">cessation of </w:t>
      </w:r>
      <w:r w:rsidR="006914B2" w:rsidRPr="000A7C4A">
        <w:rPr>
          <w:rFonts w:ascii="Century Gothic" w:hAnsi="Century Gothic" w:cs="Arial"/>
          <w:lang w:val="en-US"/>
        </w:rPr>
        <w:t xml:space="preserve">quasi-fiscal operations and the transfer of RBZ’s external liabilities to the treasury in 2023, </w:t>
      </w:r>
      <w:r w:rsidRPr="000A7C4A">
        <w:rPr>
          <w:rFonts w:ascii="Century Gothic" w:hAnsi="Century Gothic" w:cs="Arial"/>
          <w:lang w:val="en-US"/>
        </w:rPr>
        <w:t xml:space="preserve">which made it possible for </w:t>
      </w:r>
      <w:r w:rsidR="006914B2" w:rsidRPr="000A7C4A">
        <w:rPr>
          <w:rFonts w:ascii="Century Gothic" w:hAnsi="Century Gothic" w:cs="Arial"/>
          <w:lang w:val="en-US"/>
        </w:rPr>
        <w:t xml:space="preserve">the central bank </w:t>
      </w:r>
      <w:r w:rsidRPr="000A7C4A">
        <w:rPr>
          <w:rFonts w:ascii="Century Gothic" w:hAnsi="Century Gothic" w:cs="Arial"/>
          <w:lang w:val="en-US"/>
        </w:rPr>
        <w:t xml:space="preserve">to </w:t>
      </w:r>
      <w:r w:rsidR="006914B2" w:rsidRPr="000A7C4A">
        <w:rPr>
          <w:rFonts w:ascii="Century Gothic" w:hAnsi="Century Gothic" w:cs="Arial"/>
          <w:lang w:val="en-US"/>
        </w:rPr>
        <w:t xml:space="preserve">focus on its core mandate of price stability. </w:t>
      </w:r>
      <w:r w:rsidRPr="000A7C4A">
        <w:rPr>
          <w:rFonts w:ascii="Century Gothic" w:hAnsi="Century Gothic" w:cs="Arial"/>
          <w:lang w:val="en-US"/>
        </w:rPr>
        <w:t xml:space="preserve"> </w:t>
      </w:r>
    </w:p>
    <w:p w14:paraId="2E1DE6AA" w14:textId="77777777" w:rsidR="004E5A06" w:rsidRPr="000A7C4A" w:rsidRDefault="004E5A06" w:rsidP="004E5A06">
      <w:pPr>
        <w:pStyle w:val="NoSpacing"/>
        <w:jc w:val="both"/>
        <w:rPr>
          <w:rFonts w:ascii="Century Gothic" w:hAnsi="Century Gothic" w:cs="Arial"/>
          <w:lang w:val="en-US"/>
        </w:rPr>
      </w:pPr>
    </w:p>
    <w:p w14:paraId="3D079F4B" w14:textId="540FA189" w:rsidR="006914B2" w:rsidRPr="000A7C4A" w:rsidRDefault="00990D37" w:rsidP="004E5A06">
      <w:pPr>
        <w:pStyle w:val="NoSpacing"/>
        <w:jc w:val="both"/>
        <w:rPr>
          <w:rFonts w:ascii="Century Gothic" w:hAnsi="Century Gothic" w:cs="Arial"/>
        </w:rPr>
      </w:pPr>
      <w:r w:rsidRPr="000A7C4A">
        <w:rPr>
          <w:rFonts w:ascii="Century Gothic" w:hAnsi="Century Gothic" w:cs="Arial"/>
          <w:lang w:val="en-US"/>
        </w:rPr>
        <w:t>On an annual basis, ZiG inflation moderated from 85.7% in April 2025, 95.8% in July 2025 to 32.7% in October 2025, and 19% </w:t>
      </w:r>
      <w:r w:rsidR="00330AA2" w:rsidRPr="000A7C4A">
        <w:rPr>
          <w:rFonts w:ascii="Century Gothic" w:hAnsi="Century Gothic" w:cs="Arial"/>
          <w:lang w:val="en-US"/>
        </w:rPr>
        <w:t>by</w:t>
      </w:r>
      <w:r w:rsidRPr="000A7C4A">
        <w:rPr>
          <w:rFonts w:ascii="Century Gothic" w:hAnsi="Century Gothic" w:cs="Arial"/>
          <w:lang w:val="en-US"/>
        </w:rPr>
        <w:t xml:space="preserve"> November 2025 largely reflecting tight monetary policy, currency, and exchange rate stability. Annual inflation is projected at around </w:t>
      </w:r>
      <w:r w:rsidRPr="000A7C4A">
        <w:rPr>
          <w:rFonts w:ascii="Century Gothic" w:hAnsi="Century Gothic" w:cs="Arial"/>
        </w:rPr>
        <w:t xml:space="preserve">20% by December 2025. </w:t>
      </w:r>
      <w:r w:rsidR="004E5A06" w:rsidRPr="000A7C4A">
        <w:rPr>
          <w:rFonts w:ascii="Century Gothic" w:hAnsi="Century Gothic" w:cs="Arial"/>
          <w:lang w:val="en-US"/>
        </w:rPr>
        <w:t xml:space="preserve">Improved domestic food supply further dampened inflationary pressures. </w:t>
      </w:r>
      <w:r w:rsidR="00B45008" w:rsidRPr="000A7C4A">
        <w:rPr>
          <w:rFonts w:ascii="Century Gothic" w:hAnsi="Century Gothic" w:cs="Arial"/>
          <w:lang w:val="en-US"/>
        </w:rPr>
        <w:t>Consequently, i</w:t>
      </w:r>
      <w:r w:rsidRPr="000A7C4A">
        <w:rPr>
          <w:rFonts w:ascii="Century Gothic" w:hAnsi="Century Gothic" w:cs="Arial"/>
          <w:lang w:val="en-US"/>
        </w:rPr>
        <w:t xml:space="preserve">n 2026, the ZiG annual inflation rate is projected to decline to single digit levels, with a projected average of 12.1% for the year, reflecting anchored inflation expectations, currency and exchange rate stability, as well as strengthened monetary-fiscal </w:t>
      </w:r>
      <w:r w:rsidRPr="000A7C4A">
        <w:rPr>
          <w:rFonts w:ascii="Century Gothic" w:hAnsi="Century Gothic" w:cs="Arial"/>
        </w:rPr>
        <w:t>policy coordination.</w:t>
      </w:r>
      <w:r w:rsidR="004E5A06" w:rsidRPr="000A7C4A">
        <w:rPr>
          <w:rFonts w:ascii="Century Gothic" w:hAnsi="Century Gothic" w:cs="Arial"/>
        </w:rPr>
        <w:t xml:space="preserve"> </w:t>
      </w:r>
      <w:r w:rsidR="006914B2" w:rsidRPr="000A7C4A">
        <w:rPr>
          <w:rFonts w:ascii="Century Gothic" w:hAnsi="Century Gothic" w:cs="Arial"/>
          <w:lang w:val="en-US"/>
        </w:rPr>
        <w:t xml:space="preserve">Month-on-month US$ inflation averaged 0.1% over the period February to October 2025, while US dollar annual </w:t>
      </w:r>
      <w:r w:rsidR="006914B2" w:rsidRPr="000A7C4A">
        <w:rPr>
          <w:rFonts w:ascii="Century Gothic" w:hAnsi="Century Gothic" w:cs="Arial"/>
        </w:rPr>
        <w:t>inflation averaged 14.2%</w:t>
      </w:r>
      <w:r w:rsidR="004E5A06" w:rsidRPr="000A7C4A">
        <w:rPr>
          <w:rFonts w:ascii="Century Gothic" w:hAnsi="Century Gothic" w:cs="Arial"/>
        </w:rPr>
        <w:t xml:space="preserve"> during the same period</w:t>
      </w:r>
      <w:r w:rsidR="006914B2" w:rsidRPr="000A7C4A">
        <w:rPr>
          <w:rFonts w:ascii="Century Gothic" w:hAnsi="Century Gothic" w:cs="Arial"/>
        </w:rPr>
        <w:t>.</w:t>
      </w:r>
    </w:p>
    <w:p w14:paraId="5F72ABB2" w14:textId="77777777" w:rsidR="006914B2" w:rsidRPr="000A7C4A" w:rsidRDefault="006914B2" w:rsidP="004E5A06">
      <w:pPr>
        <w:pStyle w:val="NoSpacing"/>
        <w:jc w:val="both"/>
        <w:rPr>
          <w:rFonts w:ascii="Century Gothic" w:hAnsi="Century Gothic" w:cs="Arial"/>
          <w:lang w:val="en-US"/>
        </w:rPr>
      </w:pPr>
    </w:p>
    <w:p w14:paraId="6230B0F5" w14:textId="7B430419" w:rsidR="006914B2" w:rsidRPr="000A7C4A" w:rsidRDefault="00B45008" w:rsidP="007B367E">
      <w:pPr>
        <w:pStyle w:val="NoSpacing"/>
        <w:ind w:left="720" w:hanging="720"/>
        <w:rPr>
          <w:rFonts w:ascii="Century Gothic" w:hAnsi="Century Gothic" w:cs="Arial"/>
          <w:b/>
          <w:bCs/>
        </w:rPr>
      </w:pPr>
      <w:r w:rsidRPr="000A7C4A">
        <w:rPr>
          <w:rFonts w:ascii="Century Gothic" w:hAnsi="Century Gothic" w:cs="Arial"/>
          <w:b/>
          <w:bCs/>
        </w:rPr>
        <w:t>2.2</w:t>
      </w:r>
      <w:r w:rsidRPr="000A7C4A">
        <w:rPr>
          <w:rFonts w:ascii="Century Gothic" w:hAnsi="Century Gothic" w:cs="Arial"/>
          <w:b/>
          <w:bCs/>
        </w:rPr>
        <w:tab/>
        <w:t>External Sector</w:t>
      </w:r>
      <w:r w:rsidR="007B367E" w:rsidRPr="000A7C4A">
        <w:rPr>
          <w:rFonts w:ascii="Century Gothic" w:hAnsi="Century Gothic" w:cs="Arial"/>
          <w:b/>
          <w:bCs/>
        </w:rPr>
        <w:t xml:space="preserve">: </w:t>
      </w:r>
      <w:r w:rsidR="007B367E" w:rsidRPr="000A7C4A">
        <w:rPr>
          <w:rFonts w:ascii="Century Gothic" w:hAnsi="Century Gothic" w:cs="Arial"/>
          <w:b/>
          <w:bCs/>
          <w:i/>
          <w:iCs/>
        </w:rPr>
        <w:t xml:space="preserve">Narrowing trade </w:t>
      </w:r>
      <w:r w:rsidR="00AD3E75" w:rsidRPr="000A7C4A">
        <w:rPr>
          <w:rFonts w:ascii="Century Gothic" w:hAnsi="Century Gothic" w:cs="Arial"/>
          <w:b/>
          <w:bCs/>
          <w:i/>
          <w:iCs/>
        </w:rPr>
        <w:t>deficit</w:t>
      </w:r>
      <w:r w:rsidR="007B367E" w:rsidRPr="000A7C4A">
        <w:rPr>
          <w:rFonts w:ascii="Century Gothic" w:hAnsi="Century Gothic" w:cs="Arial"/>
          <w:b/>
          <w:bCs/>
          <w:i/>
          <w:iCs/>
        </w:rPr>
        <w:t xml:space="preserve"> and widening current account surplus</w:t>
      </w:r>
    </w:p>
    <w:p w14:paraId="61D66B71" w14:textId="77777777" w:rsidR="006914B2" w:rsidRPr="000A7C4A" w:rsidRDefault="006914B2" w:rsidP="006914B2">
      <w:pPr>
        <w:pStyle w:val="NoSpacing"/>
        <w:rPr>
          <w:rFonts w:ascii="Century Gothic" w:hAnsi="Century Gothic" w:cs="Arial"/>
          <w:b/>
          <w:bCs/>
        </w:rPr>
      </w:pPr>
    </w:p>
    <w:p w14:paraId="5DB5653D" w14:textId="501AA5AE" w:rsidR="00BB36DF" w:rsidRPr="000A7C4A" w:rsidRDefault="00B45008" w:rsidP="00BB36DF">
      <w:pPr>
        <w:pStyle w:val="NoSpacing"/>
        <w:jc w:val="both"/>
        <w:rPr>
          <w:rFonts w:ascii="Century Gothic" w:hAnsi="Century Gothic" w:cs="Arial"/>
        </w:rPr>
      </w:pPr>
      <w:r w:rsidRPr="000A7C4A">
        <w:rPr>
          <w:rFonts w:ascii="Century Gothic" w:hAnsi="Century Gothic" w:cs="Arial"/>
        </w:rPr>
        <w:t xml:space="preserve">During the period January to September 2025, total foreign currency receipts increased from US$10 billion in 2024 to US$12 billion. This growth was mainly due to increases in export receipts, diaspora remittances and loans to the private sector. </w:t>
      </w:r>
      <w:r w:rsidR="006914B2" w:rsidRPr="000A7C4A">
        <w:rPr>
          <w:rFonts w:ascii="Century Gothic" w:hAnsi="Century Gothic" w:cs="Arial"/>
          <w:lang w:val="en-US"/>
        </w:rPr>
        <w:t>Export receipts and diaspora remittance accounted for 59.2% and 14.8% of the total receipts, respectively, over the period from January to September 2025.</w:t>
      </w:r>
      <w:r w:rsidRPr="000A7C4A">
        <w:rPr>
          <w:rFonts w:ascii="Century Gothic" w:hAnsi="Century Gothic" w:cs="Arial"/>
          <w:lang w:val="en-US"/>
        </w:rPr>
        <w:t xml:space="preserve"> </w:t>
      </w:r>
      <w:r w:rsidR="00B90578" w:rsidRPr="000A7C4A">
        <w:rPr>
          <w:rFonts w:ascii="Century Gothic" w:hAnsi="Century Gothic" w:cs="Arial"/>
          <w:lang w:val="en-US"/>
        </w:rPr>
        <w:t>To year end, merchandise exports are projected to increase by 23.3% from US$7.8 billion in 2024 to US$9.6 billion</w:t>
      </w:r>
      <w:r w:rsidR="00BB36DF" w:rsidRPr="000A7C4A">
        <w:rPr>
          <w:rFonts w:ascii="Century Gothic" w:hAnsi="Century Gothic" w:cs="Arial"/>
          <w:lang w:val="en-US"/>
        </w:rPr>
        <w:t xml:space="preserve"> in 2025</w:t>
      </w:r>
      <w:r w:rsidR="00B90578" w:rsidRPr="000A7C4A">
        <w:rPr>
          <w:rFonts w:ascii="Century Gothic" w:hAnsi="Century Gothic" w:cs="Arial"/>
          <w:lang w:val="en-US"/>
        </w:rPr>
        <w:t>.</w:t>
      </w:r>
      <w:r w:rsidR="00D67E6D" w:rsidRPr="000A7C4A">
        <w:rPr>
          <w:rFonts w:ascii="Century Gothic" w:hAnsi="Century Gothic" w:cs="Arial"/>
        </w:rPr>
        <w:t xml:space="preserve"> </w:t>
      </w:r>
      <w:r w:rsidR="00B90578" w:rsidRPr="000A7C4A">
        <w:rPr>
          <w:rFonts w:ascii="Century Gothic" w:hAnsi="Century Gothic" w:cs="Arial"/>
          <w:lang w:val="en-US"/>
        </w:rPr>
        <w:t xml:space="preserve">In 2026, exports are projected to record growth of 5.8% to US$10.2 </w:t>
      </w:r>
      <w:r w:rsidR="00B90578" w:rsidRPr="000A7C4A">
        <w:rPr>
          <w:rFonts w:ascii="Century Gothic" w:hAnsi="Century Gothic" w:cs="Arial"/>
          <w:lang w:val="en-US"/>
        </w:rPr>
        <w:lastRenderedPageBreak/>
        <w:t xml:space="preserve">billion in the main reflecting growth of Gold, PGMs, </w:t>
      </w:r>
      <w:r w:rsidR="00B90578" w:rsidRPr="000A7C4A">
        <w:rPr>
          <w:rFonts w:ascii="Century Gothic" w:hAnsi="Century Gothic" w:cs="Arial"/>
        </w:rPr>
        <w:t xml:space="preserve">tobacco and steel exports. </w:t>
      </w:r>
      <w:r w:rsidR="00CE7AB5" w:rsidRPr="000A7C4A">
        <w:rPr>
          <w:rFonts w:ascii="Century Gothic" w:hAnsi="Century Gothic" w:cs="Arial"/>
          <w:lang w:val="en-US"/>
        </w:rPr>
        <w:t xml:space="preserve">Diaspora remittances are projected to surpass US$2.7 billion and US$2.8 billion in 2025 and 2026, </w:t>
      </w:r>
      <w:r w:rsidR="00CE7AB5" w:rsidRPr="000A7C4A">
        <w:rPr>
          <w:rFonts w:ascii="Century Gothic" w:hAnsi="Century Gothic" w:cs="Arial"/>
        </w:rPr>
        <w:t>respectively.</w:t>
      </w:r>
      <w:r w:rsidR="00BB36DF" w:rsidRPr="000A7C4A">
        <w:rPr>
          <w:rFonts w:ascii="Century Gothic" w:hAnsi="Century Gothic" w:cs="Arial"/>
        </w:rPr>
        <w:t xml:space="preserve"> </w:t>
      </w:r>
      <w:r w:rsidR="00BB36DF" w:rsidRPr="000A7C4A">
        <w:rPr>
          <w:rFonts w:ascii="Century Gothic" w:hAnsi="Century Gothic" w:cs="Arial"/>
          <w:lang w:val="en-US"/>
        </w:rPr>
        <w:t>To year end, merchandised imports are projected to increase by 5.5% from US$9.1 billion in 2024 to US$9.6 billion in 2025. In 2026, imports are expected to increase by 4.2% to US$10 billion, mainly driven by higher imports of energy and machinery.</w:t>
      </w:r>
    </w:p>
    <w:p w14:paraId="55A8F3E4" w14:textId="77777777" w:rsidR="00BB36DF" w:rsidRPr="000A7C4A" w:rsidRDefault="00BB36DF" w:rsidP="00D862F5">
      <w:pPr>
        <w:pStyle w:val="NoSpacing"/>
        <w:rPr>
          <w:rFonts w:ascii="Century Gothic" w:hAnsi="Century Gothic" w:cs="Arial"/>
          <w:lang w:val="en-US"/>
        </w:rPr>
      </w:pPr>
    </w:p>
    <w:p w14:paraId="796D8719" w14:textId="2BD0FEF6" w:rsidR="00D862F5" w:rsidRPr="000A7C4A" w:rsidRDefault="00763640" w:rsidP="00763640">
      <w:pPr>
        <w:pStyle w:val="NoSpacing"/>
        <w:jc w:val="both"/>
        <w:rPr>
          <w:rFonts w:ascii="Century Gothic" w:hAnsi="Century Gothic" w:cs="Arial"/>
        </w:rPr>
      </w:pPr>
      <w:r w:rsidRPr="000A7C4A">
        <w:rPr>
          <w:rFonts w:ascii="Century Gothic" w:hAnsi="Century Gothic" w:cs="Arial"/>
        </w:rPr>
        <w:t xml:space="preserve">The </w:t>
      </w:r>
      <w:r w:rsidRPr="000A7C4A">
        <w:rPr>
          <w:rFonts w:ascii="Century Gothic" w:hAnsi="Century Gothic" w:cs="Arial"/>
          <w:lang w:val="en-US"/>
        </w:rPr>
        <w:t>trade deficit narrowed in 2025 due to growth in agricultural and mineral exports, aided by moderation in food imports, and declining global food and fuel prices. T</w:t>
      </w:r>
      <w:r w:rsidR="00213361" w:rsidRPr="000A7C4A">
        <w:rPr>
          <w:rFonts w:ascii="Century Gothic" w:hAnsi="Century Gothic" w:cs="Arial"/>
          <w:lang w:val="en-US"/>
        </w:rPr>
        <w:t xml:space="preserve">he </w:t>
      </w:r>
      <w:r w:rsidR="006914B2" w:rsidRPr="000A7C4A">
        <w:rPr>
          <w:rFonts w:ascii="Century Gothic" w:hAnsi="Century Gothic" w:cs="Arial"/>
          <w:lang w:val="en-US"/>
        </w:rPr>
        <w:t xml:space="preserve">current account surplus </w:t>
      </w:r>
      <w:r w:rsidR="00BB36DF" w:rsidRPr="000A7C4A">
        <w:rPr>
          <w:rFonts w:ascii="Century Gothic" w:hAnsi="Century Gothic" w:cs="Arial"/>
          <w:lang w:val="en-US"/>
        </w:rPr>
        <w:t>imp</w:t>
      </w:r>
      <w:r w:rsidR="00213361" w:rsidRPr="000A7C4A">
        <w:rPr>
          <w:rFonts w:ascii="Century Gothic" w:hAnsi="Century Gothic" w:cs="Arial"/>
          <w:lang w:val="en-US"/>
        </w:rPr>
        <w:t>roved from US$31 million during the first nine months of 2024 to</w:t>
      </w:r>
      <w:r w:rsidR="006914B2" w:rsidRPr="000A7C4A">
        <w:rPr>
          <w:rFonts w:ascii="Century Gothic" w:hAnsi="Century Gothic" w:cs="Arial"/>
          <w:lang w:val="en-US"/>
        </w:rPr>
        <w:t xml:space="preserve"> US$961.3 million </w:t>
      </w:r>
      <w:r w:rsidR="00213361" w:rsidRPr="000A7C4A">
        <w:rPr>
          <w:rFonts w:ascii="Century Gothic" w:hAnsi="Century Gothic" w:cs="Arial"/>
          <w:lang w:val="en-US"/>
        </w:rPr>
        <w:t xml:space="preserve">during the </w:t>
      </w:r>
      <w:r w:rsidR="006914B2" w:rsidRPr="000A7C4A">
        <w:rPr>
          <w:rFonts w:ascii="Century Gothic" w:hAnsi="Century Gothic" w:cs="Arial"/>
          <w:lang w:val="en-US"/>
        </w:rPr>
        <w:t xml:space="preserve">same period </w:t>
      </w:r>
      <w:r w:rsidR="00BB36DF" w:rsidRPr="000A7C4A">
        <w:rPr>
          <w:rFonts w:ascii="Century Gothic" w:hAnsi="Century Gothic" w:cs="Arial"/>
          <w:lang w:val="en-US"/>
        </w:rPr>
        <w:t>in</w:t>
      </w:r>
      <w:r w:rsidR="00213361" w:rsidRPr="000A7C4A">
        <w:rPr>
          <w:rFonts w:ascii="Century Gothic" w:hAnsi="Century Gothic" w:cs="Arial"/>
          <w:lang w:val="en-US"/>
        </w:rPr>
        <w:t xml:space="preserve"> </w:t>
      </w:r>
      <w:r w:rsidR="006914B2" w:rsidRPr="000A7C4A">
        <w:rPr>
          <w:rFonts w:ascii="Century Gothic" w:hAnsi="Century Gothic" w:cs="Arial"/>
          <w:lang w:val="en-US"/>
        </w:rPr>
        <w:t>202</w:t>
      </w:r>
      <w:r w:rsidR="00213361" w:rsidRPr="000A7C4A">
        <w:rPr>
          <w:rFonts w:ascii="Century Gothic" w:hAnsi="Century Gothic" w:cs="Arial"/>
          <w:lang w:val="en-US"/>
        </w:rPr>
        <w:t>5</w:t>
      </w:r>
      <w:r w:rsidR="006914B2" w:rsidRPr="000A7C4A">
        <w:rPr>
          <w:rFonts w:ascii="Century Gothic" w:hAnsi="Century Gothic" w:cs="Arial"/>
          <w:lang w:val="en-US"/>
        </w:rPr>
        <w:t>.</w:t>
      </w:r>
      <w:r w:rsidR="00B45008" w:rsidRPr="000A7C4A">
        <w:rPr>
          <w:rFonts w:ascii="Century Gothic" w:hAnsi="Century Gothic" w:cs="Arial"/>
        </w:rPr>
        <w:t xml:space="preserve"> </w:t>
      </w:r>
      <w:r w:rsidR="006914B2" w:rsidRPr="000A7C4A">
        <w:rPr>
          <w:rFonts w:ascii="Century Gothic" w:hAnsi="Century Gothic" w:cs="Arial"/>
          <w:lang w:val="en-US"/>
        </w:rPr>
        <w:t xml:space="preserve">To year end, the current account surplus is projected </w:t>
      </w:r>
      <w:r w:rsidR="00BB36DF" w:rsidRPr="000A7C4A">
        <w:rPr>
          <w:rFonts w:ascii="Century Gothic" w:hAnsi="Century Gothic" w:cs="Arial"/>
          <w:lang w:val="en-US"/>
        </w:rPr>
        <w:t>to widen from US$501.2 million in 2024 to</w:t>
      </w:r>
      <w:r w:rsidR="006914B2" w:rsidRPr="000A7C4A">
        <w:rPr>
          <w:rFonts w:ascii="Century Gothic" w:hAnsi="Century Gothic" w:cs="Arial"/>
          <w:lang w:val="en-US"/>
        </w:rPr>
        <w:t xml:space="preserve"> US$1.3 billion</w:t>
      </w:r>
      <w:r w:rsidR="00BB36DF" w:rsidRPr="000A7C4A">
        <w:rPr>
          <w:rFonts w:ascii="Century Gothic" w:hAnsi="Century Gothic" w:cs="Arial"/>
          <w:lang w:val="en-US"/>
        </w:rPr>
        <w:t xml:space="preserve"> in 2025</w:t>
      </w:r>
      <w:r w:rsidR="006914B2" w:rsidRPr="000A7C4A">
        <w:rPr>
          <w:rFonts w:ascii="Century Gothic" w:hAnsi="Century Gothic" w:cs="Arial"/>
          <w:lang w:val="en-US"/>
        </w:rPr>
        <w:t xml:space="preserve">. The surplus is expected to increase to US$1.4 billion in </w:t>
      </w:r>
      <w:r w:rsidR="00952553" w:rsidRPr="000A7C4A">
        <w:rPr>
          <w:rFonts w:ascii="Century Gothic" w:hAnsi="Century Gothic" w:cs="Arial"/>
          <w:lang w:val="en-US"/>
        </w:rPr>
        <w:t>2026,</w:t>
      </w:r>
      <w:r w:rsidR="006914B2" w:rsidRPr="000A7C4A">
        <w:rPr>
          <w:rFonts w:ascii="Century Gothic" w:hAnsi="Century Gothic" w:cs="Arial"/>
          <w:lang w:val="en-US"/>
        </w:rPr>
        <w:t xml:space="preserve"> </w:t>
      </w:r>
      <w:r w:rsidR="00213361" w:rsidRPr="000A7C4A">
        <w:rPr>
          <w:rFonts w:ascii="Century Gothic" w:hAnsi="Century Gothic" w:cs="Arial"/>
          <w:lang w:val="en-US"/>
        </w:rPr>
        <w:t>driven by</w:t>
      </w:r>
      <w:r w:rsidR="006914B2" w:rsidRPr="000A7C4A">
        <w:rPr>
          <w:rFonts w:ascii="Century Gothic" w:hAnsi="Century Gothic" w:cs="Arial"/>
          <w:lang w:val="en-US"/>
        </w:rPr>
        <w:t xml:space="preserve"> export growth and strong </w:t>
      </w:r>
      <w:r w:rsidR="006914B2" w:rsidRPr="000A7C4A">
        <w:rPr>
          <w:rFonts w:ascii="Century Gothic" w:hAnsi="Century Gothic" w:cs="Arial"/>
        </w:rPr>
        <w:t>diaspora inflows.</w:t>
      </w:r>
      <w:r w:rsidR="00952553" w:rsidRPr="000A7C4A">
        <w:rPr>
          <w:rFonts w:ascii="Century Gothic" w:hAnsi="Century Gothic" w:cs="Arial"/>
        </w:rPr>
        <w:t xml:space="preserve"> </w:t>
      </w:r>
      <w:r w:rsidR="00B90578" w:rsidRPr="000A7C4A">
        <w:rPr>
          <w:rFonts w:ascii="Century Gothic" w:hAnsi="Century Gothic" w:cs="Arial"/>
          <w:lang w:val="en-US"/>
        </w:rPr>
        <w:t>Backed by strong remittances and gold prices, t</w:t>
      </w:r>
      <w:r w:rsidR="006914B2" w:rsidRPr="000A7C4A">
        <w:rPr>
          <w:rFonts w:ascii="Century Gothic" w:hAnsi="Century Gothic" w:cs="Arial"/>
          <w:lang w:val="en-US"/>
        </w:rPr>
        <w:t xml:space="preserve">he current account surplus is expected to widen from 1.1% of GDP in 2024 to 2.5% in 2025. </w:t>
      </w:r>
      <w:r w:rsidR="00D862F5" w:rsidRPr="000A7C4A">
        <w:rPr>
          <w:rFonts w:ascii="Century Gothic" w:hAnsi="Century Gothic" w:cs="Arial"/>
          <w:lang w:val="en-US"/>
        </w:rPr>
        <w:t xml:space="preserve">The country’s total holdings of gold and foreign reserves increased from US$285 million in April in 2024 to about US$950 million as of end October 2025. </w:t>
      </w:r>
      <w:r w:rsidR="00CE7AB5" w:rsidRPr="000A7C4A">
        <w:rPr>
          <w:rFonts w:ascii="Century Gothic" w:hAnsi="Century Gothic" w:cs="Arial"/>
          <w:lang w:val="en-US"/>
        </w:rPr>
        <w:t xml:space="preserve">However, </w:t>
      </w:r>
      <w:r w:rsidRPr="000A7C4A">
        <w:rPr>
          <w:rFonts w:ascii="Century Gothic" w:hAnsi="Century Gothic" w:cs="Arial"/>
          <w:lang w:val="en-US"/>
        </w:rPr>
        <w:t xml:space="preserve">the </w:t>
      </w:r>
      <w:r w:rsidR="00D862F5" w:rsidRPr="000A7C4A">
        <w:rPr>
          <w:rFonts w:ascii="Century Gothic" w:hAnsi="Century Gothic" w:cs="Arial"/>
          <w:lang w:val="en-US"/>
        </w:rPr>
        <w:t xml:space="preserve">foreign exchange reserves </w:t>
      </w:r>
      <w:r w:rsidR="007B367E" w:rsidRPr="000A7C4A">
        <w:rPr>
          <w:rFonts w:ascii="Century Gothic" w:hAnsi="Century Gothic" w:cs="Arial"/>
          <w:lang w:val="en-US"/>
        </w:rPr>
        <w:t xml:space="preserve">at only 1.1 months of imports </w:t>
      </w:r>
      <w:r w:rsidR="00D862F5" w:rsidRPr="000A7C4A">
        <w:rPr>
          <w:rFonts w:ascii="Century Gothic" w:hAnsi="Century Gothic" w:cs="Arial"/>
          <w:lang w:val="en-US"/>
        </w:rPr>
        <w:t xml:space="preserve">remain below the benchmark of three months' import cover. </w:t>
      </w:r>
    </w:p>
    <w:p w14:paraId="5C6B31B6" w14:textId="77777777" w:rsidR="00D862F5" w:rsidRPr="000A7C4A" w:rsidRDefault="00D862F5" w:rsidP="006914B2">
      <w:pPr>
        <w:pStyle w:val="NoSpacing"/>
        <w:jc w:val="both"/>
        <w:rPr>
          <w:rFonts w:ascii="Century Gothic" w:hAnsi="Century Gothic" w:cs="Arial"/>
          <w:lang w:val="en-US"/>
        </w:rPr>
      </w:pPr>
    </w:p>
    <w:p w14:paraId="6D16158E" w14:textId="07B7EAEA" w:rsidR="00D862F5" w:rsidRPr="000A7C4A" w:rsidRDefault="007B367E" w:rsidP="007B367E">
      <w:pPr>
        <w:pStyle w:val="NoSpacing"/>
        <w:ind w:left="720" w:hanging="720"/>
        <w:jc w:val="both"/>
        <w:rPr>
          <w:rFonts w:ascii="Century Gothic" w:hAnsi="Century Gothic" w:cs="Arial"/>
          <w:b/>
          <w:bCs/>
          <w:i/>
          <w:iCs/>
        </w:rPr>
      </w:pPr>
      <w:r w:rsidRPr="000A7C4A">
        <w:rPr>
          <w:rFonts w:ascii="Century Gothic" w:hAnsi="Century Gothic" w:cs="Arial"/>
          <w:b/>
          <w:bCs/>
          <w:lang w:val="en-US"/>
        </w:rPr>
        <w:t>2.3</w:t>
      </w:r>
      <w:r w:rsidRPr="000A7C4A">
        <w:rPr>
          <w:rFonts w:ascii="Century Gothic" w:hAnsi="Century Gothic" w:cs="Arial"/>
          <w:b/>
          <w:bCs/>
          <w:lang w:val="en-US"/>
        </w:rPr>
        <w:tab/>
      </w:r>
      <w:r w:rsidR="00D862F5" w:rsidRPr="000A7C4A">
        <w:rPr>
          <w:rFonts w:ascii="Century Gothic" w:hAnsi="Century Gothic" w:cs="Arial"/>
          <w:b/>
          <w:bCs/>
          <w:lang w:val="en-US"/>
        </w:rPr>
        <w:t>Financial Sector Developments</w:t>
      </w:r>
      <w:r w:rsidR="00CB2F12" w:rsidRPr="000A7C4A">
        <w:rPr>
          <w:rFonts w:ascii="Century Gothic" w:hAnsi="Century Gothic" w:cs="Arial"/>
          <w:b/>
          <w:bCs/>
          <w:lang w:val="en-US"/>
        </w:rPr>
        <w:t xml:space="preserve">: </w:t>
      </w:r>
      <w:r w:rsidRPr="000A7C4A">
        <w:rPr>
          <w:rFonts w:ascii="Century Gothic" w:hAnsi="Century Gothic" w:cs="Arial"/>
          <w:b/>
          <w:bCs/>
          <w:i/>
          <w:iCs/>
        </w:rPr>
        <w:t>The financial sector remains adequately capitalized with low non-performing loans (2.9%), but limited lending due to credit risks.</w:t>
      </w:r>
      <w:r w:rsidRPr="000A7C4A">
        <w:rPr>
          <w:rFonts w:ascii="Century Gothic" w:hAnsi="Century Gothic" w:cs="Arial"/>
          <w:b/>
          <w:bCs/>
          <w:i/>
          <w:iCs/>
          <w:lang w:val="en-US"/>
        </w:rPr>
        <w:t xml:space="preserve"> </w:t>
      </w:r>
      <w:r w:rsidR="00CB2F12" w:rsidRPr="000A7C4A">
        <w:rPr>
          <w:rFonts w:ascii="Century Gothic" w:hAnsi="Century Gothic" w:cs="Arial"/>
          <w:b/>
          <w:bCs/>
          <w:i/>
          <w:iCs/>
          <w:lang w:val="en-US"/>
        </w:rPr>
        <w:t>Banks remain highly dependent on non-core sources of income (fees and commission)</w:t>
      </w:r>
      <w:r w:rsidRPr="000A7C4A">
        <w:rPr>
          <w:rFonts w:ascii="Century Gothic" w:hAnsi="Century Gothic" w:cs="Arial"/>
          <w:b/>
          <w:bCs/>
          <w:i/>
          <w:iCs/>
          <w:lang w:val="en-US"/>
        </w:rPr>
        <w:t>,</w:t>
      </w:r>
      <w:r w:rsidR="00CB2F12" w:rsidRPr="000A7C4A">
        <w:rPr>
          <w:rFonts w:ascii="Century Gothic" w:hAnsi="Century Gothic" w:cs="Arial"/>
          <w:b/>
          <w:bCs/>
          <w:i/>
          <w:iCs/>
          <w:lang w:val="en-US"/>
        </w:rPr>
        <w:t xml:space="preserve"> and the level of dollarization remains high since the introduction of the ZiG.</w:t>
      </w:r>
    </w:p>
    <w:p w14:paraId="5FBC9908" w14:textId="77777777" w:rsidR="00CB2F12" w:rsidRPr="000A7C4A" w:rsidRDefault="00CB2F12" w:rsidP="00763640">
      <w:pPr>
        <w:pStyle w:val="NoSpacing"/>
        <w:rPr>
          <w:rFonts w:ascii="Century Gothic" w:hAnsi="Century Gothic" w:cs="Arial"/>
          <w:lang w:val="en-US"/>
        </w:rPr>
      </w:pPr>
    </w:p>
    <w:p w14:paraId="352867C8" w14:textId="77777777" w:rsidR="00CB2F12" w:rsidRPr="000A7C4A" w:rsidRDefault="00763640" w:rsidP="00CB2F12">
      <w:pPr>
        <w:pStyle w:val="NoSpacing"/>
        <w:jc w:val="both"/>
        <w:rPr>
          <w:rFonts w:ascii="Century Gothic" w:hAnsi="Century Gothic" w:cs="Arial"/>
          <w:lang w:val="en-US"/>
        </w:rPr>
      </w:pPr>
      <w:r w:rsidRPr="000A7C4A">
        <w:rPr>
          <w:rFonts w:ascii="Century Gothic" w:hAnsi="Century Gothic" w:cs="Arial"/>
          <w:lang w:val="en-US"/>
        </w:rPr>
        <w:t xml:space="preserve">The financial sector remains adequately capitalized with low non-performing loans (2.9%), as at 30 June 2025, against the international best practice threshold of below 5%. However, bank charges (fees &amp; commission) remain high and contribute significantly to banking sector income (45.4% by 30 June 2025), which </w:t>
      </w:r>
      <w:r w:rsidRPr="000A7C4A">
        <w:rPr>
          <w:rFonts w:ascii="Century Gothic" w:hAnsi="Century Gothic" w:cs="Arial"/>
        </w:rPr>
        <w:t>affects financial inclusion. The sustained</w:t>
      </w:r>
      <w:r w:rsidRPr="000A7C4A">
        <w:rPr>
          <w:rFonts w:ascii="Century Gothic" w:hAnsi="Century Gothic" w:cs="Arial"/>
          <w:lang w:val="en-US"/>
        </w:rPr>
        <w:t xml:space="preserve"> increase in bank charges over the years has contributed to the high levels of cash circulating outside the formal banking system. Hence, efforts to formalize cash circulation must be accompanied by a reduction in bank charges, fees and commission. </w:t>
      </w:r>
    </w:p>
    <w:p w14:paraId="3F057E27" w14:textId="77777777" w:rsidR="00CB2F12" w:rsidRPr="000A7C4A" w:rsidRDefault="00CB2F12" w:rsidP="00CB2F12">
      <w:pPr>
        <w:pStyle w:val="NoSpacing"/>
        <w:jc w:val="both"/>
        <w:rPr>
          <w:rFonts w:ascii="Century Gothic" w:hAnsi="Century Gothic" w:cs="Arial"/>
          <w:lang w:val="en-US"/>
        </w:rPr>
      </w:pPr>
    </w:p>
    <w:p w14:paraId="4B363E41" w14:textId="2973AAAD" w:rsidR="00763640" w:rsidRPr="000A7C4A" w:rsidRDefault="00763640" w:rsidP="007B367E">
      <w:pPr>
        <w:pStyle w:val="NoSpacing"/>
        <w:jc w:val="both"/>
        <w:rPr>
          <w:rFonts w:ascii="Century Gothic" w:hAnsi="Century Gothic" w:cs="Arial"/>
        </w:rPr>
      </w:pPr>
      <w:r w:rsidRPr="000A7C4A">
        <w:rPr>
          <w:rFonts w:ascii="Century Gothic" w:hAnsi="Century Gothic" w:cs="Arial"/>
          <w:lang w:val="en-US"/>
        </w:rPr>
        <w:t xml:space="preserve">As at 30 June 2025, total banking sector loans and advances stood at ZiG67.5 billion, compared to ZiG27.5 billion as at 30 June 2024, mainly driven by increase in foreign currency denominated loans which accounted for 88.4% of total loans </w:t>
      </w:r>
      <w:r w:rsidRPr="000A7C4A">
        <w:rPr>
          <w:rFonts w:ascii="Century Gothic" w:hAnsi="Century Gothic" w:cs="Arial"/>
        </w:rPr>
        <w:t xml:space="preserve">and advances. </w:t>
      </w:r>
      <w:r w:rsidRPr="000A7C4A">
        <w:rPr>
          <w:rFonts w:ascii="Century Gothic" w:hAnsi="Century Gothic" w:cs="Arial"/>
          <w:lang w:val="en-US"/>
        </w:rPr>
        <w:t xml:space="preserve">As of September 2025, broad money stock comprised of foreign currency deposits (82.9%), local currency deposits (15.4%), negotiable certificates of deposits (1.6%) and local </w:t>
      </w:r>
      <w:r w:rsidRPr="000A7C4A">
        <w:rPr>
          <w:rFonts w:ascii="Century Gothic" w:hAnsi="Century Gothic" w:cs="Arial"/>
        </w:rPr>
        <w:t>currency in circulation (0.1%).</w:t>
      </w:r>
      <w:r w:rsidR="00CB2F12" w:rsidRPr="000A7C4A">
        <w:rPr>
          <w:rFonts w:ascii="Century Gothic" w:hAnsi="Century Gothic" w:cs="Arial"/>
        </w:rPr>
        <w:t xml:space="preserve"> Thus, foreign currency accounts as a share of deposits in M3 (a proxy for dollarization) stood at 82.9% as of September 2025, compared to the 82.2% at the introduction of the ZiG. This therefore implies that since the introduction of the ZiG, dollarization</w:t>
      </w:r>
      <w:r w:rsidRPr="000A7C4A">
        <w:rPr>
          <w:rFonts w:ascii="Century Gothic" w:hAnsi="Century Gothic" w:cs="Arial"/>
          <w:lang w:val="en-US"/>
        </w:rPr>
        <w:t xml:space="preserve"> </w:t>
      </w:r>
      <w:r w:rsidR="00CB2F12" w:rsidRPr="000A7C4A">
        <w:rPr>
          <w:rFonts w:ascii="Century Gothic" w:hAnsi="Century Gothic" w:cs="Arial"/>
          <w:lang w:val="en-US"/>
        </w:rPr>
        <w:t xml:space="preserve">has </w:t>
      </w:r>
      <w:r w:rsidRPr="000A7C4A">
        <w:rPr>
          <w:rFonts w:ascii="Century Gothic" w:hAnsi="Century Gothic" w:cs="Arial"/>
          <w:lang w:val="en-US"/>
        </w:rPr>
        <w:t>remain</w:t>
      </w:r>
      <w:r w:rsidR="00CB2F12" w:rsidRPr="000A7C4A">
        <w:rPr>
          <w:rFonts w:ascii="Century Gothic" w:hAnsi="Century Gothic" w:cs="Arial"/>
          <w:lang w:val="en-US"/>
        </w:rPr>
        <w:t>ed</w:t>
      </w:r>
      <w:r w:rsidRPr="000A7C4A">
        <w:rPr>
          <w:rFonts w:ascii="Century Gothic" w:hAnsi="Century Gothic" w:cs="Arial"/>
          <w:lang w:val="en-US"/>
        </w:rPr>
        <w:t xml:space="preserve"> high. </w:t>
      </w:r>
      <w:r w:rsidR="007B367E" w:rsidRPr="000A7C4A">
        <w:rPr>
          <w:rFonts w:ascii="Century Gothic" w:hAnsi="Century Gothic" w:cs="Arial"/>
        </w:rPr>
        <w:t>The short-term nature of savings deposits further impedes long-term borrowing.</w:t>
      </w:r>
    </w:p>
    <w:p w14:paraId="31AA5872" w14:textId="6786752D" w:rsidR="00D862F5" w:rsidRDefault="00CE7AB5" w:rsidP="009A1F23">
      <w:pPr>
        <w:pStyle w:val="NoSpacing"/>
        <w:jc w:val="both"/>
        <w:rPr>
          <w:rFonts w:ascii="Century Gothic" w:hAnsi="Century Gothic" w:cs="Arial"/>
          <w:b/>
          <w:bCs/>
        </w:rPr>
      </w:pPr>
      <w:r w:rsidRPr="000A7C4A">
        <w:rPr>
          <w:rFonts w:ascii="Century Gothic" w:hAnsi="Century Gothic" w:cs="Arial"/>
          <w:b/>
          <w:bCs/>
        </w:rPr>
        <w:t xml:space="preserve"> </w:t>
      </w:r>
    </w:p>
    <w:p w14:paraId="0BF07AE3" w14:textId="77777777" w:rsidR="00DE0B13" w:rsidRDefault="00DE0B13" w:rsidP="009A1F23">
      <w:pPr>
        <w:pStyle w:val="NoSpacing"/>
        <w:jc w:val="both"/>
        <w:rPr>
          <w:rFonts w:ascii="Century Gothic" w:hAnsi="Century Gothic" w:cs="Arial"/>
          <w:b/>
          <w:bCs/>
        </w:rPr>
      </w:pPr>
    </w:p>
    <w:p w14:paraId="23A70273" w14:textId="77777777" w:rsidR="00DE0B13" w:rsidRDefault="00DE0B13" w:rsidP="009A1F23">
      <w:pPr>
        <w:pStyle w:val="NoSpacing"/>
        <w:jc w:val="both"/>
        <w:rPr>
          <w:rFonts w:ascii="Century Gothic" w:hAnsi="Century Gothic" w:cs="Arial"/>
          <w:b/>
          <w:bCs/>
        </w:rPr>
      </w:pPr>
    </w:p>
    <w:p w14:paraId="5915C127" w14:textId="77777777" w:rsidR="00DE0B13" w:rsidRDefault="00DE0B13" w:rsidP="009A1F23">
      <w:pPr>
        <w:pStyle w:val="NoSpacing"/>
        <w:jc w:val="both"/>
        <w:rPr>
          <w:rFonts w:ascii="Century Gothic" w:hAnsi="Century Gothic" w:cs="Arial"/>
          <w:b/>
          <w:bCs/>
        </w:rPr>
      </w:pPr>
    </w:p>
    <w:p w14:paraId="329FEB08" w14:textId="77777777" w:rsidR="00DE0B13" w:rsidRDefault="00DE0B13" w:rsidP="009A1F23">
      <w:pPr>
        <w:pStyle w:val="NoSpacing"/>
        <w:jc w:val="both"/>
        <w:rPr>
          <w:rFonts w:ascii="Century Gothic" w:hAnsi="Century Gothic" w:cs="Arial"/>
          <w:b/>
          <w:bCs/>
        </w:rPr>
      </w:pPr>
    </w:p>
    <w:p w14:paraId="3C086108" w14:textId="77777777" w:rsidR="00DE0B13" w:rsidRPr="000A7C4A" w:rsidRDefault="00DE0B13" w:rsidP="009A1F23">
      <w:pPr>
        <w:pStyle w:val="NoSpacing"/>
        <w:jc w:val="both"/>
        <w:rPr>
          <w:rFonts w:ascii="Century Gothic" w:hAnsi="Century Gothic" w:cs="Arial"/>
          <w:b/>
          <w:bCs/>
        </w:rPr>
      </w:pPr>
    </w:p>
    <w:p w14:paraId="26B53053" w14:textId="6F0E2FFA" w:rsidR="00AD3E75" w:rsidRPr="000A7C4A" w:rsidRDefault="00AD3E75" w:rsidP="009A1F23">
      <w:pPr>
        <w:pStyle w:val="NoSpacing"/>
        <w:jc w:val="both"/>
        <w:rPr>
          <w:rFonts w:ascii="Century Gothic" w:hAnsi="Century Gothic" w:cs="Arial"/>
          <w:b/>
          <w:bCs/>
        </w:rPr>
      </w:pPr>
      <w:r w:rsidRPr="000A7C4A">
        <w:rPr>
          <w:rFonts w:ascii="Century Gothic" w:hAnsi="Century Gothic" w:cs="Arial"/>
          <w:b/>
          <w:bCs/>
        </w:rPr>
        <w:t>3.0</w:t>
      </w:r>
      <w:r w:rsidRPr="000A7C4A">
        <w:rPr>
          <w:rFonts w:ascii="Century Gothic" w:hAnsi="Century Gothic" w:cs="Arial"/>
          <w:b/>
          <w:bCs/>
        </w:rPr>
        <w:tab/>
        <w:t>Critique</w:t>
      </w:r>
    </w:p>
    <w:p w14:paraId="589895A2" w14:textId="20874A41" w:rsidR="00A248CD" w:rsidRPr="000A7C4A" w:rsidRDefault="00AD3E75" w:rsidP="009A1F23">
      <w:pPr>
        <w:pStyle w:val="NoSpacing"/>
        <w:ind w:left="720" w:hanging="720"/>
        <w:jc w:val="both"/>
        <w:rPr>
          <w:rFonts w:ascii="Century Gothic" w:hAnsi="Century Gothic" w:cs="Arial"/>
          <w:lang w:val="en-US"/>
        </w:rPr>
      </w:pPr>
      <w:r w:rsidRPr="000A7C4A">
        <w:rPr>
          <w:rFonts w:ascii="Century Gothic" w:hAnsi="Century Gothic" w:cs="Arial"/>
          <w:lang w:val="en-US"/>
        </w:rPr>
        <w:t>3.1</w:t>
      </w:r>
      <w:r w:rsidRPr="000A7C4A">
        <w:rPr>
          <w:rFonts w:ascii="Century Gothic" w:hAnsi="Century Gothic" w:cs="Arial"/>
          <w:lang w:val="en-US"/>
        </w:rPr>
        <w:tab/>
      </w:r>
      <w:r w:rsidR="00A248CD" w:rsidRPr="000A7C4A">
        <w:rPr>
          <w:rFonts w:ascii="Century Gothic" w:hAnsi="Century Gothic" w:cs="Arial"/>
          <w:b/>
          <w:bCs/>
          <w:lang w:val="en-US"/>
        </w:rPr>
        <w:t>Trade</w:t>
      </w:r>
      <w:r w:rsidR="00EB2971" w:rsidRPr="000A7C4A">
        <w:rPr>
          <w:rFonts w:ascii="Century Gothic" w:hAnsi="Century Gothic" w:cs="Arial"/>
          <w:b/>
          <w:bCs/>
          <w:lang w:val="en-US"/>
        </w:rPr>
        <w:t>-</w:t>
      </w:r>
      <w:r w:rsidR="00A248CD" w:rsidRPr="000A7C4A">
        <w:rPr>
          <w:rFonts w:ascii="Century Gothic" w:hAnsi="Century Gothic" w:cs="Arial"/>
          <w:b/>
          <w:bCs/>
          <w:lang w:val="en-US"/>
        </w:rPr>
        <w:t>Off Between Stabilization and Development Objectives</w:t>
      </w:r>
      <w:r w:rsidR="007B5000" w:rsidRPr="000A7C4A">
        <w:rPr>
          <w:rFonts w:ascii="Century Gothic" w:hAnsi="Century Gothic" w:cs="Arial"/>
          <w:b/>
          <w:bCs/>
          <w:lang w:val="en-US"/>
        </w:rPr>
        <w:t xml:space="preserve">: </w:t>
      </w:r>
      <w:r w:rsidR="007B5000" w:rsidRPr="000A7C4A">
        <w:rPr>
          <w:rFonts w:ascii="Century Gothic" w:hAnsi="Century Gothic" w:cs="Arial"/>
          <w:b/>
          <w:bCs/>
          <w:i/>
          <w:iCs/>
          <w:lang w:val="en-US"/>
        </w:rPr>
        <w:t>Austerity Hurts Social Development</w:t>
      </w:r>
    </w:p>
    <w:p w14:paraId="5FC10077" w14:textId="77777777" w:rsidR="00A248CD" w:rsidRPr="000A7C4A" w:rsidRDefault="00A248CD" w:rsidP="009A1F23">
      <w:pPr>
        <w:pStyle w:val="NoSpacing"/>
        <w:ind w:left="720" w:hanging="720"/>
        <w:jc w:val="both"/>
        <w:rPr>
          <w:rFonts w:ascii="Century Gothic" w:hAnsi="Century Gothic" w:cs="Arial"/>
          <w:lang w:val="en-US"/>
        </w:rPr>
      </w:pPr>
    </w:p>
    <w:p w14:paraId="76E7C0F5" w14:textId="7914690A" w:rsidR="00A248CD" w:rsidRPr="000A7C4A" w:rsidRDefault="00A248CD" w:rsidP="00B36C5A">
      <w:pPr>
        <w:pStyle w:val="NoSpacing"/>
        <w:jc w:val="both"/>
        <w:rPr>
          <w:rFonts w:ascii="Century Gothic" w:hAnsi="Century Gothic" w:cs="Arial"/>
        </w:rPr>
      </w:pPr>
      <w:r w:rsidRPr="000A7C4A">
        <w:rPr>
          <w:rFonts w:ascii="Century Gothic" w:hAnsi="Century Gothic" w:cs="Arial"/>
          <w:lang w:val="en-US"/>
        </w:rPr>
        <w:t xml:space="preserve">In a typical conventional macroeconomic framework, the 2026 National Budget </w:t>
      </w:r>
      <w:r w:rsidR="00B36C5A" w:rsidRPr="000A7C4A">
        <w:rPr>
          <w:rFonts w:ascii="Century Gothic" w:hAnsi="Century Gothic" w:cs="Arial"/>
          <w:lang w:val="en-US"/>
        </w:rPr>
        <w:t>lays emphasis of macroeconomic stability, arguing that: “</w:t>
      </w:r>
      <w:r w:rsidR="00B36C5A" w:rsidRPr="000A7C4A">
        <w:rPr>
          <w:rFonts w:ascii="Century Gothic" w:hAnsi="Century Gothic" w:cs="Arial"/>
        </w:rPr>
        <w:t xml:space="preserve">The impact of spiralling inflation, currency and exchange rate instability over the past decade, has been very high, therefore, anchoring macroeconomic stability is the number one priority. Accordingly, the thrust of the 2026 National Budget is to entrench currency, price and exchange rate stability complemented by mutually reinforcing monetary policy,” (paragraph 4, page 9). Clearly, the 2026 National Budget, </w:t>
      </w:r>
      <w:r w:rsidRPr="000A7C4A">
        <w:rPr>
          <w:rFonts w:ascii="Century Gothic" w:hAnsi="Century Gothic" w:cs="Arial"/>
          <w:lang w:val="en-US"/>
        </w:rPr>
        <w:t xml:space="preserve">“…is premised </w:t>
      </w:r>
      <w:r w:rsidRPr="000A7C4A">
        <w:rPr>
          <w:rFonts w:ascii="Century Gothic" w:hAnsi="Century Gothic" w:cs="Arial"/>
        </w:rPr>
        <w:t xml:space="preserve">on bold revenue mobilisation strategies, enhanced tax </w:t>
      </w:r>
      <w:r w:rsidRPr="000A7C4A">
        <w:rPr>
          <w:rFonts w:ascii="Century Gothic" w:hAnsi="Century Gothic" w:cs="Arial"/>
          <w:lang w:val="en-US"/>
        </w:rPr>
        <w:t xml:space="preserve">administrative efficiencies, complemented by a suite of robust measures aimed at improving tax compliance. Complemented by sustained fiscal discipline and expenditure </w:t>
      </w:r>
      <w:r w:rsidRPr="000A7C4A">
        <w:rPr>
          <w:rFonts w:ascii="Century Gothic" w:hAnsi="Century Gothic" w:cs="Arial"/>
        </w:rPr>
        <w:t>alignment</w:t>
      </w:r>
      <w:r w:rsidR="00B36C5A" w:rsidRPr="000A7C4A">
        <w:rPr>
          <w:rFonts w:ascii="Century Gothic" w:hAnsi="Century Gothic" w:cs="Arial"/>
        </w:rPr>
        <w:t>,</w:t>
      </w:r>
      <w:r w:rsidRPr="000A7C4A">
        <w:rPr>
          <w:rFonts w:ascii="Century Gothic" w:hAnsi="Century Gothic" w:cs="Arial"/>
        </w:rPr>
        <w:t xml:space="preserve">” </w:t>
      </w:r>
      <w:r w:rsidR="00B36C5A" w:rsidRPr="000A7C4A">
        <w:rPr>
          <w:rFonts w:ascii="Century Gothic" w:hAnsi="Century Gothic" w:cs="Arial"/>
        </w:rPr>
        <w:t xml:space="preserve">(paragraph 164, page 80). </w:t>
      </w:r>
      <w:r w:rsidRPr="000A7C4A">
        <w:rPr>
          <w:rFonts w:ascii="Century Gothic" w:hAnsi="Century Gothic" w:cs="Arial"/>
        </w:rPr>
        <w:t>It therefore focuses on the t</w:t>
      </w:r>
      <w:r w:rsidR="00B36C5A" w:rsidRPr="000A7C4A">
        <w:rPr>
          <w:rFonts w:ascii="Century Gothic" w:hAnsi="Century Gothic" w:cs="Arial"/>
        </w:rPr>
        <w:t>raditional</w:t>
      </w:r>
      <w:r w:rsidRPr="000A7C4A">
        <w:rPr>
          <w:rFonts w:ascii="Century Gothic" w:hAnsi="Century Gothic" w:cs="Arial"/>
        </w:rPr>
        <w:t xml:space="preserve"> macroeconomic indicators such as GDP, budget deficit, inflation, current account and debt sustainability.</w:t>
      </w:r>
      <w:r w:rsidR="00B82676" w:rsidRPr="000A7C4A">
        <w:rPr>
          <w:rStyle w:val="FootnoteReference"/>
          <w:rFonts w:ascii="Century Gothic" w:hAnsi="Century Gothic" w:cs="Arial"/>
        </w:rPr>
        <w:footnoteReference w:id="1"/>
      </w:r>
      <w:r w:rsidRPr="000A7C4A">
        <w:rPr>
          <w:rFonts w:ascii="Century Gothic" w:hAnsi="Century Gothic" w:cs="Arial"/>
        </w:rPr>
        <w:t xml:space="preserve"> This is obviously the conventional ‘trickle-down approach’ that treats social objectives as residual, and hence the emphasis on stability variables as well as GDP growth.</w:t>
      </w:r>
    </w:p>
    <w:p w14:paraId="33E28093" w14:textId="77777777" w:rsidR="00A248CD" w:rsidRPr="000A7C4A" w:rsidRDefault="00A248CD" w:rsidP="00A248CD">
      <w:pPr>
        <w:pStyle w:val="NoSpacing"/>
        <w:jc w:val="both"/>
        <w:rPr>
          <w:rFonts w:ascii="Century Gothic" w:hAnsi="Century Gothic" w:cs="Arial"/>
          <w:lang w:val="en-US"/>
        </w:rPr>
      </w:pPr>
    </w:p>
    <w:p w14:paraId="5012B129" w14:textId="1188A440" w:rsidR="00383B10" w:rsidRPr="000A7C4A" w:rsidRDefault="00B36C5A" w:rsidP="00383B10">
      <w:pPr>
        <w:pStyle w:val="NoSpacing"/>
        <w:jc w:val="both"/>
        <w:rPr>
          <w:rFonts w:ascii="Century Gothic" w:hAnsi="Century Gothic" w:cs="Arial"/>
          <w:lang w:val="en-GB"/>
        </w:rPr>
      </w:pPr>
      <w:r w:rsidRPr="000A7C4A">
        <w:rPr>
          <w:rFonts w:ascii="Century Gothic" w:hAnsi="Century Gothic" w:cs="Arial"/>
          <w:lang w:val="en-US"/>
        </w:rPr>
        <w:t>This is not to deny the importance of macroeconomic and price stability, but as the renowned economist John Maynard Keynes quipped, “</w:t>
      </w:r>
      <w:r w:rsidR="005B2E9A" w:rsidRPr="000A7C4A">
        <w:rPr>
          <w:rFonts w:ascii="Century Gothic" w:hAnsi="Century Gothic" w:cs="Arial"/>
        </w:rPr>
        <w:t>The long run is a misleading guide to current affairs. In</w:t>
      </w:r>
      <w:r w:rsidRPr="000A7C4A">
        <w:rPr>
          <w:rFonts w:ascii="Century Gothic" w:hAnsi="Century Gothic" w:cs="Arial"/>
          <w:lang w:val="en-US"/>
        </w:rPr>
        <w:t xml:space="preserve"> the long</w:t>
      </w:r>
      <w:r w:rsidR="005B2E9A" w:rsidRPr="000A7C4A">
        <w:rPr>
          <w:rFonts w:ascii="Century Gothic" w:hAnsi="Century Gothic" w:cs="Arial"/>
          <w:lang w:val="en-US"/>
        </w:rPr>
        <w:t xml:space="preserve"> run</w:t>
      </w:r>
      <w:r w:rsidRPr="000A7C4A">
        <w:rPr>
          <w:rFonts w:ascii="Century Gothic" w:hAnsi="Century Gothic" w:cs="Arial"/>
          <w:lang w:val="en-US"/>
        </w:rPr>
        <w:t xml:space="preserve"> we are all dead.”</w:t>
      </w:r>
      <w:r w:rsidR="00B82676" w:rsidRPr="000A7C4A">
        <w:rPr>
          <w:rFonts w:ascii="Century Gothic" w:hAnsi="Century Gothic" w:cs="Arial"/>
          <w:lang w:val="en-US"/>
        </w:rPr>
        <w:t xml:space="preserve"> Lessons from experiences with stabilization programmes such as Structural Adjustment Programmes (SAPs) implemented across the developing world during the 1980s and 1990s </w:t>
      </w:r>
      <w:r w:rsidR="00383B10" w:rsidRPr="000A7C4A">
        <w:rPr>
          <w:rFonts w:ascii="Century Gothic" w:hAnsi="Century Gothic" w:cs="Arial"/>
          <w:lang w:val="en-US"/>
        </w:rPr>
        <w:t>suggest</w:t>
      </w:r>
      <w:r w:rsidR="00B82676" w:rsidRPr="000A7C4A">
        <w:rPr>
          <w:rFonts w:ascii="Century Gothic" w:hAnsi="Century Gothic" w:cs="Arial"/>
          <w:lang w:val="en-US"/>
        </w:rPr>
        <w:t xml:space="preserve"> that macroeconomic stabilization was often achieved, but at the expense of sustained levels of economic growth, employment and poverty reduction - the stabilization trap. </w:t>
      </w:r>
      <w:r w:rsidR="00B82676" w:rsidRPr="000A7C4A">
        <w:rPr>
          <w:rFonts w:ascii="Century Gothic" w:hAnsi="Century Gothic" w:cs="Arial"/>
          <w:lang w:val="en-GB"/>
        </w:rPr>
        <w:t xml:space="preserve">After close to two decades of implementing such reforms, the World Bank sought to understand the underlying factors behind the disappointing results. Its detailed assessment of the lessons from reforms are distilled into two seminal reports ‘Economic Growth in the 1990s: Learning from a Decade of Reform’ of 2005; and ‘The Growth Report: Strategies for Sustained Growth and Inclusive Development’ of 2008. </w:t>
      </w:r>
    </w:p>
    <w:p w14:paraId="7C3A272F" w14:textId="77777777" w:rsidR="00383B10" w:rsidRPr="000A7C4A" w:rsidRDefault="00383B10" w:rsidP="00383B10">
      <w:pPr>
        <w:pStyle w:val="NoSpacing"/>
        <w:jc w:val="both"/>
        <w:rPr>
          <w:rFonts w:ascii="Century Gothic" w:hAnsi="Century Gothic" w:cs="Arial"/>
          <w:lang w:val="en-GB"/>
        </w:rPr>
      </w:pPr>
    </w:p>
    <w:p w14:paraId="517336AF" w14:textId="77777777" w:rsidR="00383B10" w:rsidRPr="000A7C4A" w:rsidRDefault="00B82676" w:rsidP="00383B10">
      <w:pPr>
        <w:pStyle w:val="NoSpacing"/>
        <w:jc w:val="both"/>
        <w:rPr>
          <w:rFonts w:ascii="Century Gothic" w:hAnsi="Century Gothic" w:cs="Arial"/>
          <w:lang w:val="en-US"/>
        </w:rPr>
      </w:pPr>
      <w:r w:rsidRPr="000A7C4A">
        <w:rPr>
          <w:rFonts w:ascii="Century Gothic" w:hAnsi="Century Gothic" w:cs="Arial"/>
          <w:lang w:val="en-GB"/>
        </w:rPr>
        <w:t>The World Bank (2005) observes that despite having implemented significant policy reforms, economies of SSA failed to take off, with the success stories few, and even these were considered fragile more than a decade later.</w:t>
      </w:r>
      <w:r w:rsidR="00383B10" w:rsidRPr="000A7C4A">
        <w:rPr>
          <w:rFonts w:ascii="Century Gothic" w:hAnsi="Century Gothic" w:cs="Arial"/>
          <w:lang w:val="en-GB"/>
        </w:rPr>
        <w:t xml:space="preserve"> These studies highlight that </w:t>
      </w:r>
      <w:r w:rsidR="00383B10" w:rsidRPr="000A7C4A">
        <w:rPr>
          <w:rFonts w:ascii="Century Gothic" w:hAnsi="Century Gothic" w:cs="Arial"/>
          <w:lang w:val="en-US"/>
        </w:rPr>
        <w:t xml:space="preserve">by focusing on macroeconomic stability, conventional macroeconomic policies confused means for ends. Macroeconomic stability is a means, and not an end. These studies further argue that achieving macroeconomic stability by, for instance, cutting back on public investment may result in a lower fiscal deficit today, but will inevitably reduce long-run growth and the future tax base and may very well imply a higher fiscal deficit in the future. </w:t>
      </w:r>
    </w:p>
    <w:p w14:paraId="14F1F8F6" w14:textId="77777777" w:rsidR="00383B10" w:rsidRPr="000A7C4A" w:rsidRDefault="00383B10" w:rsidP="00383B10">
      <w:pPr>
        <w:pStyle w:val="NoSpacing"/>
        <w:jc w:val="both"/>
        <w:rPr>
          <w:rFonts w:ascii="Century Gothic" w:hAnsi="Century Gothic" w:cs="Arial"/>
          <w:lang w:val="en-US"/>
        </w:rPr>
      </w:pPr>
    </w:p>
    <w:p w14:paraId="7B74B1E3" w14:textId="4EDD3BFD" w:rsidR="00383B10" w:rsidRPr="000A7C4A" w:rsidRDefault="00383B10" w:rsidP="00383B10">
      <w:pPr>
        <w:pStyle w:val="NoSpacing"/>
        <w:jc w:val="both"/>
        <w:rPr>
          <w:rFonts w:ascii="Century Gothic" w:hAnsi="Century Gothic" w:cs="Arial"/>
        </w:rPr>
      </w:pPr>
      <w:r w:rsidRPr="000A7C4A">
        <w:rPr>
          <w:rFonts w:ascii="Century Gothic" w:hAnsi="Century Gothic" w:cs="Arial"/>
          <w:lang w:val="en-US"/>
        </w:rPr>
        <w:t xml:space="preserve">Thus, the major weakness of the orthodox macroeconomic framework is its lack of understanding of what the renowned economist Paul Krugman referred to as the “failures on the demand side of the economy.” Stabilization involves cutting back on </w:t>
      </w:r>
      <w:r w:rsidRPr="000A7C4A">
        <w:rPr>
          <w:rFonts w:ascii="Century Gothic" w:hAnsi="Century Gothic" w:cs="Arial"/>
          <w:lang w:val="en-US"/>
        </w:rPr>
        <w:lastRenderedPageBreak/>
        <w:t>aggregate demand, which makes such policies pro-cyclical in that while they may promote short-term stability, in the long-term they undermine investment, growth and social development. As the deputy chairman of the Planning Commission of India, Montek Singh Ahluwalia who was part of the World Bank’s Growth Commission aptly put it, “International financial institutions, the IMF in particular, have tended to see public investment as a short-term stabilization issue, and failed to grasp its long-term growth consequences. If low-income countries are stuck in a low-level equilibrium, then putting constraints on their infrastructure spending may ensure they never take off,” (see World Bank, 2008: 36).</w:t>
      </w:r>
      <w:r w:rsidRPr="000A7C4A">
        <w:rPr>
          <w:rFonts w:ascii="Century Gothic" w:hAnsi="Century Gothic" w:cs="Arial"/>
        </w:rPr>
        <w:t xml:space="preserve"> </w:t>
      </w:r>
      <w:r w:rsidRPr="000A7C4A">
        <w:rPr>
          <w:rFonts w:ascii="Century Gothic" w:hAnsi="Century Gothic" w:cs="Arial"/>
          <w:lang w:val="en-US"/>
        </w:rPr>
        <w:t xml:space="preserve">Moreover, it has been established that instead of crowding out private investment, public investment crowds it in as it expands investment opportunities and helps raise the net return to private investment through reducing the cost of production. Yet investment in infrastructure is widely neglected (see World Bank, 2008). </w:t>
      </w:r>
    </w:p>
    <w:p w14:paraId="3B32FE53" w14:textId="46D93BA3" w:rsidR="00383B10" w:rsidRPr="000A7C4A" w:rsidRDefault="00383B10" w:rsidP="00383B10">
      <w:pPr>
        <w:pStyle w:val="NoSpacing"/>
        <w:rPr>
          <w:rFonts w:ascii="Century Gothic" w:hAnsi="Century Gothic" w:cs="Arial"/>
        </w:rPr>
      </w:pPr>
    </w:p>
    <w:p w14:paraId="496ED74C" w14:textId="77777777" w:rsidR="00D0030F" w:rsidRPr="000A7C4A" w:rsidRDefault="00D0030F" w:rsidP="00D0030F">
      <w:pPr>
        <w:pStyle w:val="NoSpacing"/>
        <w:jc w:val="both"/>
        <w:rPr>
          <w:rFonts w:ascii="Century Gothic" w:hAnsi="Century Gothic" w:cs="Arial"/>
          <w:lang w:val="en-GB"/>
        </w:rPr>
      </w:pPr>
      <w:r w:rsidRPr="000A7C4A">
        <w:rPr>
          <w:rFonts w:ascii="Century Gothic" w:hAnsi="Century Gothic" w:cs="Arial"/>
          <w:lang w:val="en-GB"/>
        </w:rPr>
        <w:t>Conventional approaches often miss the fact that social goals are not only ends in themselves, but are also capital inputs, the very means to productive life, economic growth and further development (World Bank, 2008).</w:t>
      </w:r>
      <w:r w:rsidRPr="000A7C4A">
        <w:rPr>
          <w:rFonts w:ascii="Century Gothic" w:hAnsi="Century Gothic" w:cs="Arial"/>
        </w:rPr>
        <w:t xml:space="preserve"> </w:t>
      </w:r>
      <w:r w:rsidR="00383B10" w:rsidRPr="000A7C4A">
        <w:rPr>
          <w:rFonts w:ascii="Century Gothic" w:hAnsi="Century Gothic" w:cs="Arial"/>
          <w:lang w:val="en-GB"/>
        </w:rPr>
        <w:t xml:space="preserve">In the aftermath of the global crisis of 2008-09, the IMF has belatedly accepted that a rethink of macroeconomic policy is required. In an appropriately titled paper, “Rethinking Macroeconomic Policy,” it laments that “…we thought of monetary policy as having one target, inflation, and one instrument, the policy rate. So long as inflation was stable, the output gap was likely to be small and stable and monetary policy did its job. We thought of fiscal policy as playing a secondary role, with political constraints sharply limiting its de facto usefulness. And we thought of financial regulation as mostly outside the macroeconomic framework,” (see Blanchard </w:t>
      </w:r>
      <w:r w:rsidR="00383B10" w:rsidRPr="000A7C4A">
        <w:rPr>
          <w:rFonts w:ascii="Century Gothic" w:hAnsi="Century Gothic" w:cs="Arial"/>
          <w:i/>
          <w:iCs/>
          <w:lang w:val="en-GB"/>
        </w:rPr>
        <w:t>et.al,</w:t>
      </w:r>
      <w:r w:rsidR="00383B10" w:rsidRPr="000A7C4A">
        <w:rPr>
          <w:rFonts w:ascii="Century Gothic" w:hAnsi="Century Gothic" w:cs="Arial"/>
          <w:lang w:val="en-GB"/>
        </w:rPr>
        <w:t xml:space="preserve"> 2010: 3).</w:t>
      </w:r>
      <w:r w:rsidR="000D2F64" w:rsidRPr="000A7C4A">
        <w:rPr>
          <w:rFonts w:ascii="Century Gothic" w:hAnsi="Century Gothic" w:cs="Arial"/>
          <w:lang w:val="en-GB"/>
        </w:rPr>
        <w:t xml:space="preserve"> </w:t>
      </w:r>
    </w:p>
    <w:p w14:paraId="706E9473" w14:textId="77777777" w:rsidR="00D0030F" w:rsidRPr="000A7C4A" w:rsidRDefault="00D0030F" w:rsidP="00D0030F">
      <w:pPr>
        <w:pStyle w:val="NoSpacing"/>
        <w:jc w:val="both"/>
        <w:rPr>
          <w:rFonts w:ascii="Century Gothic" w:hAnsi="Century Gothic" w:cs="Arial"/>
          <w:lang w:val="en-GB"/>
        </w:rPr>
      </w:pPr>
    </w:p>
    <w:p w14:paraId="0AE0C752" w14:textId="5E9C01F7" w:rsidR="000D2F64" w:rsidRPr="000A7C4A" w:rsidRDefault="000D2F64" w:rsidP="00D0030F">
      <w:pPr>
        <w:pStyle w:val="NoSpacing"/>
        <w:jc w:val="both"/>
        <w:rPr>
          <w:rFonts w:ascii="Century Gothic" w:hAnsi="Century Gothic" w:cs="Arial"/>
        </w:rPr>
      </w:pPr>
      <w:r w:rsidRPr="000A7C4A">
        <w:rPr>
          <w:rFonts w:ascii="Century Gothic" w:hAnsi="Century Gothic" w:cs="Arial"/>
          <w:lang w:val="en-GB"/>
        </w:rPr>
        <w:t xml:space="preserve">The IMF </w:t>
      </w:r>
      <w:r w:rsidR="00D0030F" w:rsidRPr="000A7C4A">
        <w:rPr>
          <w:rFonts w:ascii="Century Gothic" w:hAnsi="Century Gothic" w:cs="Arial"/>
          <w:lang w:val="en-GB"/>
        </w:rPr>
        <w:t xml:space="preserve">therefore </w:t>
      </w:r>
      <w:r w:rsidRPr="000A7C4A">
        <w:rPr>
          <w:rFonts w:ascii="Century Gothic" w:hAnsi="Century Gothic" w:cs="Arial"/>
          <w:lang w:val="en-GB"/>
        </w:rPr>
        <w:t xml:space="preserve">acknowledges that there can be multiple targets in a macroeconomic strategy, and that these can be achieved through multiple instruments. This is particularly critical for the design of employment-friendly macroeconomic frameworks, especially in developing countries. In particular, the recognition of fiscal policy as a significant policy tool, particularly in times of crisis when counter-cyclical measures are warranted, and when monetary policy often reaches its limits, is a worthwhile development. </w:t>
      </w:r>
    </w:p>
    <w:p w14:paraId="5E526E8A" w14:textId="6C4B41D2" w:rsidR="00383B10" w:rsidRPr="000A7C4A" w:rsidRDefault="00383B10" w:rsidP="000D2F64">
      <w:pPr>
        <w:pStyle w:val="NoSpacing"/>
        <w:rPr>
          <w:rFonts w:ascii="Century Gothic" w:hAnsi="Century Gothic" w:cs="Arial"/>
        </w:rPr>
      </w:pPr>
    </w:p>
    <w:p w14:paraId="666CA053" w14:textId="4689EC40" w:rsidR="00B82676" w:rsidRPr="000A7C4A" w:rsidRDefault="005B2E9A" w:rsidP="00D0030F">
      <w:pPr>
        <w:pStyle w:val="NoSpacing"/>
        <w:jc w:val="both"/>
        <w:rPr>
          <w:rFonts w:ascii="Century Gothic" w:hAnsi="Century Gothic" w:cs="Arial"/>
        </w:rPr>
      </w:pPr>
      <w:r w:rsidRPr="000A7C4A">
        <w:rPr>
          <w:rFonts w:ascii="Century Gothic" w:hAnsi="Century Gothic" w:cs="Arial"/>
        </w:rPr>
        <w:t xml:space="preserve">Given that since September 2018, Zimbabwe has been implementing various currency and stabilization measures, it is important to assess how these have affected other development goals. Given that the 2026 National Budget </w:t>
      </w:r>
      <w:r w:rsidR="00D0030F" w:rsidRPr="000A7C4A">
        <w:rPr>
          <w:rFonts w:ascii="Century Gothic" w:hAnsi="Century Gothic" w:cs="Arial"/>
        </w:rPr>
        <w:t>marks the beginning of NDS2, it should have assessed not only the conventional macroeconomic indicators (GDP, budget deficits, inflation, current account, and debt sustainability), but should have also included social indicators which reflect outcomes and</w:t>
      </w:r>
      <w:r w:rsidR="00154018" w:rsidRPr="000A7C4A">
        <w:rPr>
          <w:rFonts w:ascii="Century Gothic" w:hAnsi="Century Gothic" w:cs="Arial"/>
        </w:rPr>
        <w:t xml:space="preserve"> impacts such as employment/unemployment, inequality, poverty/human development etc. As noted by the renowned economist Joseph Stiglitz, “GDP is not a good </w:t>
      </w:r>
      <w:r w:rsidR="00D95C08" w:rsidRPr="000A7C4A">
        <w:rPr>
          <w:rFonts w:ascii="Century Gothic" w:hAnsi="Century Gothic" w:cs="Arial"/>
        </w:rPr>
        <w:t xml:space="preserve">measure </w:t>
      </w:r>
      <w:r w:rsidR="00154018" w:rsidRPr="000A7C4A">
        <w:rPr>
          <w:rFonts w:ascii="Century Gothic" w:hAnsi="Century Gothic" w:cs="Arial"/>
        </w:rPr>
        <w:t xml:space="preserve">of economic performance, it’s not a good measure of well-being.” </w:t>
      </w:r>
    </w:p>
    <w:p w14:paraId="220A38F8" w14:textId="704F79A6" w:rsidR="00B82676" w:rsidRPr="000A7C4A" w:rsidRDefault="00B82676" w:rsidP="00B82676">
      <w:pPr>
        <w:pStyle w:val="NoSpacing"/>
        <w:rPr>
          <w:rFonts w:ascii="Century Gothic" w:hAnsi="Century Gothic" w:cs="Arial"/>
        </w:rPr>
      </w:pPr>
    </w:p>
    <w:p w14:paraId="3B385E21" w14:textId="23471B67" w:rsidR="00B36C5A" w:rsidRPr="000A7C4A" w:rsidRDefault="000C15A7" w:rsidP="00A248CD">
      <w:pPr>
        <w:pStyle w:val="NoSpacing"/>
        <w:jc w:val="both"/>
        <w:rPr>
          <w:rFonts w:ascii="Century Gothic" w:hAnsi="Century Gothic" w:cs="Arial"/>
          <w:lang w:val="en-US"/>
        </w:rPr>
      </w:pPr>
      <w:r w:rsidRPr="000A7C4A">
        <w:rPr>
          <w:rFonts w:ascii="Century Gothic" w:hAnsi="Century Gothic" w:cs="Arial"/>
          <w:lang w:val="en-US"/>
        </w:rPr>
        <w:t>3.2</w:t>
      </w:r>
      <w:r w:rsidRPr="000A7C4A">
        <w:rPr>
          <w:rFonts w:ascii="Century Gothic" w:hAnsi="Century Gothic" w:cs="Arial"/>
          <w:lang w:val="en-US"/>
        </w:rPr>
        <w:tab/>
      </w:r>
      <w:r w:rsidRPr="000A7C4A">
        <w:rPr>
          <w:rFonts w:ascii="Century Gothic" w:hAnsi="Century Gothic" w:cs="Arial"/>
          <w:b/>
          <w:bCs/>
          <w:i/>
          <w:iCs/>
          <w:lang w:val="en-US"/>
        </w:rPr>
        <w:t>The quality of growth matters as much as its quantum</w:t>
      </w:r>
    </w:p>
    <w:p w14:paraId="76CDB3E4" w14:textId="0B35E526" w:rsidR="00571167" w:rsidRPr="000A7C4A" w:rsidRDefault="00571167" w:rsidP="00571167">
      <w:pPr>
        <w:pStyle w:val="NoSpacing"/>
        <w:rPr>
          <w:rFonts w:ascii="Century Gothic" w:hAnsi="Century Gothic" w:cs="Arial"/>
          <w:lang w:val="en-US"/>
        </w:rPr>
      </w:pPr>
      <w:r w:rsidRPr="000A7C4A">
        <w:rPr>
          <w:rFonts w:ascii="Century Gothic" w:hAnsi="Century Gothic" w:cs="Arial"/>
          <w:lang w:val="en-US"/>
        </w:rPr>
        <w:t xml:space="preserve"> </w:t>
      </w:r>
    </w:p>
    <w:p w14:paraId="453B9C8C" w14:textId="72F8FEBB" w:rsidR="00D95C08" w:rsidRPr="000A7C4A" w:rsidRDefault="000C15A7" w:rsidP="006C523E">
      <w:pPr>
        <w:pStyle w:val="NoSpacing"/>
        <w:jc w:val="both"/>
        <w:rPr>
          <w:rFonts w:ascii="Century Gothic" w:hAnsi="Century Gothic" w:cs="Arial"/>
          <w:lang w:val="en-US"/>
        </w:rPr>
      </w:pPr>
      <w:r w:rsidRPr="000A7C4A">
        <w:rPr>
          <w:rFonts w:ascii="Century Gothic" w:hAnsi="Century Gothic" w:cs="Arial"/>
          <w:lang w:val="en-US"/>
        </w:rPr>
        <w:t xml:space="preserve">The ‘reasonable’ growth </w:t>
      </w:r>
      <w:r w:rsidR="00D0030F" w:rsidRPr="000A7C4A">
        <w:rPr>
          <w:rFonts w:ascii="Century Gothic" w:hAnsi="Century Gothic" w:cs="Arial"/>
          <w:lang w:val="en-US"/>
        </w:rPr>
        <w:t xml:space="preserve">rates </w:t>
      </w:r>
      <w:r w:rsidRPr="000A7C4A">
        <w:rPr>
          <w:rFonts w:ascii="Century Gothic" w:hAnsi="Century Gothic" w:cs="Arial"/>
          <w:lang w:val="en-US"/>
        </w:rPr>
        <w:t>achieved during NDS1 ha</w:t>
      </w:r>
      <w:r w:rsidR="00D0030F" w:rsidRPr="000A7C4A">
        <w:rPr>
          <w:rFonts w:ascii="Century Gothic" w:hAnsi="Century Gothic" w:cs="Arial"/>
          <w:lang w:val="en-US"/>
        </w:rPr>
        <w:t>ve</w:t>
      </w:r>
      <w:r w:rsidRPr="000A7C4A">
        <w:rPr>
          <w:rFonts w:ascii="Century Gothic" w:hAnsi="Century Gothic" w:cs="Arial"/>
          <w:lang w:val="en-US"/>
        </w:rPr>
        <w:t xml:space="preserve"> been lauded, </w:t>
      </w:r>
      <w:r w:rsidR="00D0030F" w:rsidRPr="000A7C4A">
        <w:rPr>
          <w:rFonts w:ascii="Century Gothic" w:hAnsi="Century Gothic" w:cs="Arial"/>
          <w:lang w:val="en-US"/>
        </w:rPr>
        <w:t xml:space="preserve">and rightly so, </w:t>
      </w:r>
      <w:r w:rsidRPr="000A7C4A">
        <w:rPr>
          <w:rFonts w:ascii="Century Gothic" w:hAnsi="Century Gothic" w:cs="Arial"/>
          <w:lang w:val="en-US"/>
        </w:rPr>
        <w:t xml:space="preserve">especially as the average growth exceeded </w:t>
      </w:r>
      <w:r w:rsidR="005B2E9A" w:rsidRPr="000A7C4A">
        <w:rPr>
          <w:rFonts w:ascii="Century Gothic" w:hAnsi="Century Gothic" w:cs="Arial"/>
          <w:lang w:val="en-US"/>
        </w:rPr>
        <w:t xml:space="preserve">policy </w:t>
      </w:r>
      <w:r w:rsidRPr="000A7C4A">
        <w:rPr>
          <w:rFonts w:ascii="Century Gothic" w:hAnsi="Century Gothic" w:cs="Arial"/>
          <w:lang w:val="en-US"/>
        </w:rPr>
        <w:t xml:space="preserve">targets. </w:t>
      </w:r>
      <w:r w:rsidR="005B2E9A" w:rsidRPr="000A7C4A">
        <w:rPr>
          <w:rFonts w:ascii="Century Gothic" w:hAnsi="Century Gothic" w:cs="Arial"/>
          <w:lang w:val="en-US"/>
        </w:rPr>
        <w:t>However, as pointed out in NDS 1</w:t>
      </w:r>
      <w:r w:rsidR="00D0030F" w:rsidRPr="000A7C4A">
        <w:rPr>
          <w:rFonts w:ascii="Century Gothic" w:hAnsi="Century Gothic" w:cs="Arial"/>
          <w:lang w:val="en-US"/>
        </w:rPr>
        <w:t>,</w:t>
      </w:r>
      <w:r w:rsidR="005B2E9A" w:rsidRPr="000A7C4A">
        <w:rPr>
          <w:rFonts w:ascii="Century Gothic" w:hAnsi="Century Gothic" w:cs="Arial"/>
          <w:lang w:val="en-US"/>
        </w:rPr>
        <w:t xml:space="preserve"> </w:t>
      </w:r>
      <w:r w:rsidR="00D0030F" w:rsidRPr="000A7C4A">
        <w:rPr>
          <w:rFonts w:ascii="Century Gothic" w:hAnsi="Century Gothic" w:cs="Arial"/>
          <w:lang w:val="en-US"/>
        </w:rPr>
        <w:t>“…</w:t>
      </w:r>
      <w:r w:rsidR="005B2E9A" w:rsidRPr="000A7C4A">
        <w:rPr>
          <w:rFonts w:ascii="Century Gothic" w:hAnsi="Century Gothic" w:cs="Arial"/>
          <w:lang w:val="en-US"/>
        </w:rPr>
        <w:t xml:space="preserve">despite having experienced episodes of significant growth in the economy, this has not translated into notable decent employment generation. </w:t>
      </w:r>
      <w:r w:rsidR="00D0030F" w:rsidRPr="000A7C4A">
        <w:rPr>
          <w:rFonts w:ascii="Century Gothic" w:hAnsi="Century Gothic" w:cs="Arial"/>
          <w:lang w:val="en-US"/>
        </w:rPr>
        <w:t>T</w:t>
      </w:r>
      <w:r w:rsidR="005B2E9A" w:rsidRPr="000A7C4A">
        <w:rPr>
          <w:rFonts w:ascii="Century Gothic" w:hAnsi="Century Gothic" w:cs="Arial"/>
          <w:lang w:val="en-US"/>
        </w:rPr>
        <w:t xml:space="preserve">he </w:t>
      </w:r>
      <w:r w:rsidR="005B2E9A" w:rsidRPr="000A7C4A">
        <w:rPr>
          <w:rFonts w:ascii="Century Gothic" w:hAnsi="Century Gothic" w:cs="Arial"/>
          <w:lang w:val="en-US"/>
        </w:rPr>
        <w:lastRenderedPageBreak/>
        <w:t>growth remained relatively non-inclusive, thus, benefitting a few,’ (Zimbabwe, 2020:57).</w:t>
      </w:r>
      <w:r w:rsidR="00D0030F" w:rsidRPr="000A7C4A">
        <w:rPr>
          <w:rFonts w:ascii="Century Gothic" w:hAnsi="Century Gothic" w:cs="Arial"/>
          <w:lang w:val="en-US"/>
        </w:rPr>
        <w:t xml:space="preserve"> This non-inclusive pattern of growth is further </w:t>
      </w:r>
      <w:r w:rsidR="005B2E9A" w:rsidRPr="000A7C4A">
        <w:rPr>
          <w:rFonts w:ascii="Century Gothic" w:hAnsi="Century Gothic" w:cs="Arial"/>
          <w:lang w:val="en-US"/>
        </w:rPr>
        <w:t xml:space="preserve">supported by the World Bank, which </w:t>
      </w:r>
      <w:r w:rsidR="00D95C08" w:rsidRPr="000A7C4A">
        <w:rPr>
          <w:rFonts w:ascii="Century Gothic" w:hAnsi="Century Gothic" w:cs="Arial"/>
          <w:lang w:val="en-US"/>
        </w:rPr>
        <w:t>noted that</w:t>
      </w:r>
      <w:r w:rsidR="005B2E9A" w:rsidRPr="000A7C4A">
        <w:rPr>
          <w:rFonts w:ascii="Century Gothic" w:hAnsi="Century Gothic" w:cs="Arial"/>
          <w:lang w:val="en-US"/>
        </w:rPr>
        <w:t xml:space="preserve">: “Despite reasonable growth, Zimbabwe’s poverty rates have remained elevated in recent years,” </w:t>
      </w:r>
      <w:r w:rsidR="00D95C08" w:rsidRPr="000A7C4A">
        <w:rPr>
          <w:rFonts w:ascii="Century Gothic" w:hAnsi="Century Gothic" w:cs="Arial"/>
          <w:lang w:val="en-US"/>
        </w:rPr>
        <w:t>(</w:t>
      </w:r>
      <w:r w:rsidR="005B2E9A" w:rsidRPr="000A7C4A">
        <w:rPr>
          <w:rFonts w:ascii="Century Gothic" w:hAnsi="Century Gothic" w:cs="Arial"/>
          <w:lang w:val="en-US"/>
        </w:rPr>
        <w:t>Economic Update, 2 December</w:t>
      </w:r>
      <w:r w:rsidR="00D95C08" w:rsidRPr="000A7C4A">
        <w:rPr>
          <w:rFonts w:ascii="Century Gothic" w:hAnsi="Century Gothic" w:cs="Arial"/>
          <w:lang w:val="en-US"/>
        </w:rPr>
        <w:t xml:space="preserve"> 2025</w:t>
      </w:r>
      <w:r w:rsidR="005B2E9A" w:rsidRPr="000A7C4A">
        <w:rPr>
          <w:rFonts w:ascii="Century Gothic" w:hAnsi="Century Gothic" w:cs="Arial"/>
          <w:lang w:val="en-US"/>
        </w:rPr>
        <w:t>:15</w:t>
      </w:r>
      <w:r w:rsidR="00D95C08" w:rsidRPr="000A7C4A">
        <w:rPr>
          <w:rFonts w:ascii="Century Gothic" w:hAnsi="Century Gothic" w:cs="Arial"/>
          <w:lang w:val="en-US"/>
        </w:rPr>
        <w:t>)</w:t>
      </w:r>
      <w:r w:rsidR="005B2E9A" w:rsidRPr="000A7C4A">
        <w:rPr>
          <w:rFonts w:ascii="Century Gothic" w:hAnsi="Century Gothic" w:cs="Arial"/>
          <w:lang w:val="en-US"/>
        </w:rPr>
        <w:t>.</w:t>
      </w:r>
      <w:r w:rsidR="00D95C08" w:rsidRPr="000A7C4A">
        <w:rPr>
          <w:rFonts w:ascii="Century Gothic" w:hAnsi="Century Gothic" w:cs="Arial"/>
          <w:lang w:val="en-US"/>
        </w:rPr>
        <w:t xml:space="preserve"> </w:t>
      </w:r>
    </w:p>
    <w:p w14:paraId="3C1A1943" w14:textId="77777777" w:rsidR="00D95C08" w:rsidRPr="000A7C4A" w:rsidRDefault="00D95C08" w:rsidP="00D95C08">
      <w:pPr>
        <w:pStyle w:val="NoSpacing"/>
        <w:rPr>
          <w:rFonts w:ascii="Century Gothic" w:hAnsi="Century Gothic" w:cs="Arial"/>
          <w:lang w:val="en-US"/>
        </w:rPr>
      </w:pPr>
    </w:p>
    <w:p w14:paraId="0E454902" w14:textId="697C6AA2" w:rsidR="00EB2971" w:rsidRPr="000A7C4A" w:rsidRDefault="006C523E" w:rsidP="00EB2971">
      <w:pPr>
        <w:pStyle w:val="NoSpacing"/>
        <w:jc w:val="both"/>
        <w:rPr>
          <w:rFonts w:ascii="Century Gothic" w:hAnsi="Century Gothic" w:cs="Arial"/>
        </w:rPr>
      </w:pPr>
      <w:r w:rsidRPr="000A7C4A">
        <w:rPr>
          <w:rFonts w:ascii="Century Gothic" w:hAnsi="Century Gothic" w:cs="Arial"/>
          <w:lang w:val="en-US"/>
        </w:rPr>
        <w:t xml:space="preserve">According to the 2023-24 Human Development Report, Zimbabwe’s Gini coefficient has risen from 42% in 2011 to 50% in 2019 and 50.3% in 2023, implying that the gulf between the poorer and richer in the population has widened. </w:t>
      </w:r>
      <w:r w:rsidR="00124E31" w:rsidRPr="000A7C4A">
        <w:rPr>
          <w:rFonts w:ascii="Century Gothic" w:hAnsi="Century Gothic" w:cs="Arial"/>
        </w:rPr>
        <w:t>Tied with Mozambique at 50.3, Zimbabwe has the 9</w:t>
      </w:r>
      <w:r w:rsidR="00124E31" w:rsidRPr="000A7C4A">
        <w:rPr>
          <w:rFonts w:ascii="Century Gothic" w:hAnsi="Century Gothic" w:cs="Arial"/>
          <w:vertAlign w:val="superscript"/>
        </w:rPr>
        <w:t>th</w:t>
      </w:r>
      <w:r w:rsidR="00124E31" w:rsidRPr="000A7C4A">
        <w:rPr>
          <w:rFonts w:ascii="Century Gothic" w:hAnsi="Century Gothic" w:cs="Arial"/>
        </w:rPr>
        <w:t xml:space="preserve"> most unequal country in the world after South Africa (63.0), Namibia (59.1), Colombia (54.8), eSwatini (54.6), Botswana (53.3), Brazil (52), Zambia (51.5), and Angola (51.3). </w:t>
      </w:r>
      <w:r w:rsidR="00E940BA" w:rsidRPr="000A7C4A">
        <w:rPr>
          <w:rFonts w:ascii="Century Gothic" w:hAnsi="Century Gothic" w:cs="Arial"/>
          <w:lang w:val="en-US"/>
        </w:rPr>
        <w:t>Yet</w:t>
      </w:r>
      <w:r w:rsidR="00EB2971" w:rsidRPr="000A7C4A">
        <w:rPr>
          <w:rFonts w:ascii="Century Gothic" w:hAnsi="Century Gothic" w:cs="Arial"/>
          <w:lang w:val="en-US"/>
        </w:rPr>
        <w:t xml:space="preserve"> inequality</w:t>
      </w:r>
      <w:r w:rsidR="00E940BA" w:rsidRPr="000A7C4A">
        <w:rPr>
          <w:rFonts w:ascii="Century Gothic" w:hAnsi="Century Gothic" w:cs="Arial"/>
          <w:lang w:val="en-GB"/>
        </w:rPr>
        <w:t xml:space="preserve"> is found to negatively affect growth and its sustainability. </w:t>
      </w:r>
      <w:r w:rsidR="00EB2971" w:rsidRPr="000A7C4A">
        <w:rPr>
          <w:rFonts w:ascii="Century Gothic" w:hAnsi="Century Gothic" w:cs="Arial"/>
          <w:lang w:val="en-GB"/>
        </w:rPr>
        <w:t>Furthermore, i</w:t>
      </w:r>
      <w:r w:rsidR="00E940BA" w:rsidRPr="000A7C4A">
        <w:rPr>
          <w:rFonts w:ascii="Century Gothic" w:hAnsi="Century Gothic" w:cs="Arial"/>
          <w:lang w:val="en-GB"/>
        </w:rPr>
        <w:t xml:space="preserve">ncome inequality </w:t>
      </w:r>
      <w:r w:rsidR="00EB2971" w:rsidRPr="000A7C4A">
        <w:rPr>
          <w:rFonts w:ascii="Century Gothic" w:hAnsi="Century Gothic" w:cs="Arial"/>
          <w:lang w:val="en-GB"/>
        </w:rPr>
        <w:t xml:space="preserve">has been found to </w:t>
      </w:r>
      <w:r w:rsidR="00E940BA" w:rsidRPr="000A7C4A">
        <w:rPr>
          <w:rFonts w:ascii="Century Gothic" w:hAnsi="Century Gothic" w:cs="Arial"/>
          <w:lang w:val="en-GB"/>
        </w:rPr>
        <w:t>hold back the pace at which growth reduces poverty. Hence, growth is less efficient in reducing poverty amongst countries with high initial levels of inequality or where the pattern of growth favours the rich.</w:t>
      </w:r>
      <w:r w:rsidR="00E940BA" w:rsidRPr="000A7C4A">
        <w:rPr>
          <w:rStyle w:val="FootnoteReference"/>
          <w:rFonts w:ascii="Century Gothic" w:hAnsi="Century Gothic" w:cs="Arial"/>
          <w:lang w:val="en-GB"/>
        </w:rPr>
        <w:footnoteReference w:id="2"/>
      </w:r>
      <w:r w:rsidR="00E940BA" w:rsidRPr="000A7C4A">
        <w:rPr>
          <w:rFonts w:ascii="Century Gothic" w:hAnsi="Century Gothic" w:cs="Arial"/>
          <w:lang w:val="en-GB"/>
        </w:rPr>
        <w:t xml:space="preserve"> </w:t>
      </w:r>
      <w:r w:rsidR="00EB2971" w:rsidRPr="000A7C4A">
        <w:rPr>
          <w:rFonts w:ascii="Century Gothic" w:hAnsi="Century Gothic" w:cs="Arial"/>
          <w:lang w:val="en-US"/>
        </w:rPr>
        <w:t xml:space="preserve">As highlighted by the World Bank,’ “Inequality of opportunity also sows longer-term dangers. If one group is persistently and flagrantly excluded from the fruits of growth, the chances are they will eventually find a way to derail it,” (2008:62). </w:t>
      </w:r>
    </w:p>
    <w:p w14:paraId="2ED110CC" w14:textId="77777777" w:rsidR="00EB2971" w:rsidRPr="000A7C4A" w:rsidRDefault="00EB2971" w:rsidP="00EB2971">
      <w:pPr>
        <w:pStyle w:val="NoSpacing"/>
        <w:jc w:val="both"/>
        <w:rPr>
          <w:rFonts w:ascii="Century Gothic" w:hAnsi="Century Gothic" w:cs="Arial"/>
          <w:lang w:val="en-US"/>
        </w:rPr>
      </w:pPr>
    </w:p>
    <w:p w14:paraId="3ECDA2E7" w14:textId="7C55B6DB" w:rsidR="00EB2971" w:rsidRPr="000A7C4A" w:rsidRDefault="00EB2971" w:rsidP="00EB2971">
      <w:pPr>
        <w:pStyle w:val="NoSpacing"/>
        <w:jc w:val="both"/>
        <w:rPr>
          <w:rFonts w:ascii="Century Gothic" w:hAnsi="Century Gothic" w:cs="Arial"/>
          <w:lang w:val="en-US"/>
        </w:rPr>
      </w:pPr>
      <w:r w:rsidRPr="000A7C4A">
        <w:rPr>
          <w:rFonts w:ascii="Century Gothic" w:hAnsi="Century Gothic" w:cs="Arial"/>
          <w:lang w:val="en-US"/>
        </w:rPr>
        <w:t>In the World Bank Report, the renowned economist Robert Solow aptly summed it up as follows: “In many ways, the more equitable the growth, the more sustainable it’s likely to be, because there will be less controversy, less disagreement, less resistance, and also there’s an enormous amount of talent in populations that needs to be tapped. Excluding some parts of the population, whether by gender, age, or ethnicity, from the benefits of growth loses the talents that they have. So in my view, it is not only desirable that they go together, it’s useful that they go together,” (2008:62). The World Bank Growth Commission Report concluded, “It is our belief that equity and equality of opportunity are essential ingredients of sustainable growth strategies,” (2008:60).</w:t>
      </w:r>
    </w:p>
    <w:p w14:paraId="5757017E" w14:textId="77777777" w:rsidR="00EB2971" w:rsidRPr="000A7C4A" w:rsidRDefault="00EB2971" w:rsidP="006C523E">
      <w:pPr>
        <w:pStyle w:val="NoSpacing"/>
        <w:jc w:val="both"/>
        <w:rPr>
          <w:rFonts w:ascii="Century Gothic" w:hAnsi="Century Gothic" w:cs="Arial"/>
          <w:lang w:val="en-US"/>
        </w:rPr>
      </w:pPr>
    </w:p>
    <w:p w14:paraId="39FCA4AC" w14:textId="3145A1A5" w:rsidR="006C523E" w:rsidRPr="000A7C4A" w:rsidRDefault="00D32DAF" w:rsidP="006C523E">
      <w:pPr>
        <w:pStyle w:val="NoSpacing"/>
        <w:jc w:val="both"/>
        <w:rPr>
          <w:rFonts w:ascii="Century Gothic" w:hAnsi="Century Gothic" w:cs="Arial"/>
        </w:rPr>
      </w:pPr>
      <w:r w:rsidRPr="000A7C4A">
        <w:rPr>
          <w:rFonts w:ascii="Century Gothic" w:hAnsi="Century Gothic" w:cs="Arial"/>
          <w:lang w:val="en-US"/>
        </w:rPr>
        <w:t>ZIMSTAT’s Labour Force Survey data suggests that overall unemployment in recent times increased from 14% in 2019 to 19.1% by Q4 2022 to 19.3% in Q1 2023, 19.7% in Q2 2023, 21% Q3 2023, and 21.8% by Q3 2024.</w:t>
      </w:r>
      <w:r w:rsidRPr="000A7C4A">
        <w:rPr>
          <w:rFonts w:ascii="Century Gothic" w:hAnsi="Century Gothic"/>
          <w:sz w:val="24"/>
          <w:szCs w:val="24"/>
        </w:rPr>
        <w:t xml:space="preserve"> </w:t>
      </w:r>
      <w:r w:rsidR="00D95C08" w:rsidRPr="000A7C4A">
        <w:rPr>
          <w:rFonts w:ascii="Century Gothic" w:hAnsi="Century Gothic" w:cs="Arial"/>
          <w:lang w:val="en-US"/>
        </w:rPr>
        <w:t xml:space="preserve">The national extreme poverty rate, defined as the share of population that cannot afford a food basket to meet the minimum daily caloric requirement, increased from 23% in 2011 to a peak of 49% in 2020, immediately after the onset of the pandemic. The poverty level </w:t>
      </w:r>
      <w:r w:rsidR="006C523E" w:rsidRPr="000A7C4A">
        <w:rPr>
          <w:rFonts w:ascii="Century Gothic" w:hAnsi="Century Gothic" w:cs="Arial"/>
          <w:lang w:val="en-US"/>
        </w:rPr>
        <w:t>fell</w:t>
      </w:r>
      <w:r w:rsidR="00D95C08" w:rsidRPr="000A7C4A">
        <w:rPr>
          <w:rFonts w:ascii="Century Gothic" w:hAnsi="Century Gothic" w:cs="Arial"/>
          <w:lang w:val="en-US"/>
        </w:rPr>
        <w:t xml:space="preserve"> to 42% in 2023 because of the resumption of economic activities and a successful agricultural season.</w:t>
      </w:r>
      <w:r w:rsidR="006C523E" w:rsidRPr="000A7C4A">
        <w:rPr>
          <w:rFonts w:ascii="Century Gothic" w:hAnsi="Century Gothic" w:cs="Arial"/>
          <w:lang w:val="en-US"/>
        </w:rPr>
        <w:t xml:space="preserve"> The international poverty rate (US$3 in 2021 PPP) remained elevated at 41.4% in 2021, 48.9% in 2022, 47.6% in 2023, 47.6% in 2024, 45.8% in 2025 and 44.5% in 2026 (see World Bank, 2025, </w:t>
      </w:r>
      <w:r w:rsidR="006C523E" w:rsidRPr="000A7C4A">
        <w:rPr>
          <w:rFonts w:ascii="Century Gothic" w:hAnsi="Century Gothic" w:cs="Arial"/>
          <w:b/>
          <w:bCs/>
          <w:i/>
          <w:iCs/>
          <w:lang w:val="en-US"/>
        </w:rPr>
        <w:t>ibid</w:t>
      </w:r>
      <w:r w:rsidR="006C523E" w:rsidRPr="000A7C4A">
        <w:rPr>
          <w:rFonts w:ascii="Century Gothic" w:hAnsi="Century Gothic" w:cs="Arial"/>
          <w:lang w:val="en-US"/>
        </w:rPr>
        <w:t>).</w:t>
      </w:r>
    </w:p>
    <w:p w14:paraId="5990DEE8" w14:textId="77777777" w:rsidR="00D95C08" w:rsidRPr="000A7C4A" w:rsidRDefault="00D95C08" w:rsidP="005B2E9A">
      <w:pPr>
        <w:pStyle w:val="NoSpacing"/>
        <w:jc w:val="both"/>
        <w:rPr>
          <w:rFonts w:ascii="Century Gothic" w:hAnsi="Century Gothic" w:cs="Arial"/>
        </w:rPr>
      </w:pPr>
    </w:p>
    <w:p w14:paraId="6D608FDD" w14:textId="3E3B3E63" w:rsidR="005B2E9A" w:rsidRPr="000A7C4A" w:rsidRDefault="005B2E9A" w:rsidP="005B2E9A">
      <w:pPr>
        <w:pStyle w:val="NoSpacing"/>
        <w:jc w:val="both"/>
        <w:rPr>
          <w:rFonts w:ascii="Century Gothic" w:hAnsi="Century Gothic" w:cs="Arial"/>
        </w:rPr>
      </w:pPr>
      <w:r w:rsidRPr="000A7C4A">
        <w:rPr>
          <w:rFonts w:ascii="Century Gothic" w:hAnsi="Century Gothic" w:cs="Arial"/>
          <w:lang w:val="en-US"/>
        </w:rPr>
        <w:t xml:space="preserve">Lessons from experience suggest that growth is a necessary but insufficient condition for poverty reduction and its eradication as the </w:t>
      </w:r>
      <w:r w:rsidRPr="000A7C4A">
        <w:rPr>
          <w:rFonts w:ascii="Century Gothic" w:hAnsi="Century Gothic" w:cs="Arial"/>
          <w:lang w:val="en-GB"/>
        </w:rPr>
        <w:t>link between growth and poverty reduction is not automatic.</w:t>
      </w:r>
      <w:r w:rsidRPr="000A7C4A">
        <w:rPr>
          <w:rFonts w:ascii="Century Gothic" w:hAnsi="Century Gothic" w:cs="Arial"/>
          <w:lang w:val="en-US"/>
        </w:rPr>
        <w:t xml:space="preserve"> </w:t>
      </w:r>
      <w:r w:rsidRPr="000A7C4A">
        <w:rPr>
          <w:rFonts w:ascii="Century Gothic" w:hAnsi="Century Gothic" w:cs="Arial"/>
          <w:lang w:val="en-ZA"/>
        </w:rPr>
        <w:t xml:space="preserve">Growth is seen as a means rather than an </w:t>
      </w:r>
      <w:r w:rsidR="006C523E" w:rsidRPr="000A7C4A">
        <w:rPr>
          <w:rFonts w:ascii="Century Gothic" w:hAnsi="Century Gothic" w:cs="Arial"/>
          <w:lang w:val="en-ZA"/>
        </w:rPr>
        <w:t>end</w:t>
      </w:r>
      <w:r w:rsidRPr="000A7C4A">
        <w:rPr>
          <w:rFonts w:ascii="Century Gothic" w:hAnsi="Century Gothic" w:cs="Arial"/>
          <w:lang w:val="en-ZA"/>
        </w:rPr>
        <w:t xml:space="preserve">. </w:t>
      </w:r>
      <w:r w:rsidR="00D95C08" w:rsidRPr="000A7C4A">
        <w:rPr>
          <w:rFonts w:ascii="Century Gothic" w:hAnsi="Century Gothic" w:cs="Arial"/>
          <w:lang w:val="en-ZA"/>
        </w:rPr>
        <w:t>In fact, s</w:t>
      </w:r>
      <w:r w:rsidRPr="000A7C4A">
        <w:rPr>
          <w:rFonts w:ascii="Century Gothic" w:hAnsi="Century Gothic" w:cs="Arial"/>
          <w:lang w:val="en-ZA"/>
        </w:rPr>
        <w:t>uch an approach acknowledges that a country may achieve high levels of growth, but that does not mean it has a high level of human development.</w:t>
      </w:r>
      <w:r w:rsidR="00D95C08" w:rsidRPr="000A7C4A">
        <w:rPr>
          <w:rFonts w:ascii="Century Gothic" w:hAnsi="Century Gothic" w:cs="Arial"/>
        </w:rPr>
        <w:t xml:space="preserve"> </w:t>
      </w:r>
      <w:r w:rsidRPr="000A7C4A">
        <w:rPr>
          <w:rFonts w:ascii="Century Gothic" w:hAnsi="Century Gothic" w:cs="Arial"/>
          <w:lang w:val="en-ZA"/>
        </w:rPr>
        <w:t xml:space="preserve">As the UNDP </w:t>
      </w:r>
      <w:r w:rsidR="00D95C08" w:rsidRPr="000A7C4A">
        <w:rPr>
          <w:rFonts w:ascii="Century Gothic" w:hAnsi="Century Gothic" w:cs="Arial"/>
          <w:lang w:val="en-ZA"/>
        </w:rPr>
        <w:lastRenderedPageBreak/>
        <w:t xml:space="preserve">Global Human Development Report </w:t>
      </w:r>
      <w:r w:rsidRPr="000A7C4A">
        <w:rPr>
          <w:rFonts w:ascii="Century Gothic" w:hAnsi="Century Gothic" w:cs="Arial"/>
          <w:lang w:val="en-ZA"/>
        </w:rPr>
        <w:t>(1997) found, the following typologies of growth are not consistent with sustained poverty reduction and its eradication:</w:t>
      </w:r>
    </w:p>
    <w:p w14:paraId="2C7C0D71" w14:textId="77777777" w:rsidR="005B2E9A" w:rsidRPr="000A7C4A" w:rsidRDefault="005B2E9A" w:rsidP="005B2E9A">
      <w:pPr>
        <w:pStyle w:val="NoSpacing"/>
        <w:numPr>
          <w:ilvl w:val="0"/>
          <w:numId w:val="2"/>
        </w:numPr>
        <w:jc w:val="both"/>
        <w:rPr>
          <w:rFonts w:ascii="Century Gothic" w:hAnsi="Century Gothic" w:cs="Arial"/>
        </w:rPr>
      </w:pPr>
      <w:r w:rsidRPr="000A7C4A">
        <w:rPr>
          <w:rFonts w:ascii="Century Gothic" w:hAnsi="Century Gothic" w:cs="Arial"/>
          <w:lang w:val="en-ZA"/>
        </w:rPr>
        <w:t>Jobless growth (growth that does not expand employment opportunities);</w:t>
      </w:r>
    </w:p>
    <w:p w14:paraId="2E1C8124" w14:textId="77777777" w:rsidR="005B2E9A" w:rsidRPr="000A7C4A" w:rsidRDefault="005B2E9A" w:rsidP="005B2E9A">
      <w:pPr>
        <w:pStyle w:val="NoSpacing"/>
        <w:numPr>
          <w:ilvl w:val="0"/>
          <w:numId w:val="2"/>
        </w:numPr>
        <w:jc w:val="both"/>
        <w:rPr>
          <w:rFonts w:ascii="Century Gothic" w:hAnsi="Century Gothic" w:cs="Arial"/>
        </w:rPr>
      </w:pPr>
      <w:r w:rsidRPr="000A7C4A">
        <w:rPr>
          <w:rFonts w:ascii="Century Gothic" w:hAnsi="Century Gothic" w:cs="Arial"/>
          <w:lang w:val="en-ZA"/>
        </w:rPr>
        <w:t>Ruthless growth (growth associated with increasing inequality and poverty);</w:t>
      </w:r>
    </w:p>
    <w:p w14:paraId="16931ACC" w14:textId="77777777" w:rsidR="005B2E9A" w:rsidRPr="000A7C4A" w:rsidRDefault="005B2E9A" w:rsidP="005B2E9A">
      <w:pPr>
        <w:pStyle w:val="NoSpacing"/>
        <w:numPr>
          <w:ilvl w:val="0"/>
          <w:numId w:val="2"/>
        </w:numPr>
        <w:jc w:val="both"/>
        <w:rPr>
          <w:rFonts w:ascii="Century Gothic" w:hAnsi="Century Gothic" w:cs="Arial"/>
        </w:rPr>
      </w:pPr>
      <w:r w:rsidRPr="000A7C4A">
        <w:rPr>
          <w:rFonts w:ascii="Century Gothic" w:hAnsi="Century Gothic" w:cs="Arial"/>
          <w:lang w:val="en-ZA"/>
        </w:rPr>
        <w:t>Voiceless growth (growth in the absence of democracy or empowerment);</w:t>
      </w:r>
    </w:p>
    <w:p w14:paraId="2477B9FC" w14:textId="77777777" w:rsidR="005B2E9A" w:rsidRPr="000A7C4A" w:rsidRDefault="005B2E9A" w:rsidP="005B2E9A">
      <w:pPr>
        <w:pStyle w:val="NoSpacing"/>
        <w:numPr>
          <w:ilvl w:val="0"/>
          <w:numId w:val="2"/>
        </w:numPr>
        <w:jc w:val="both"/>
        <w:rPr>
          <w:rFonts w:ascii="Century Gothic" w:hAnsi="Century Gothic" w:cs="Arial"/>
        </w:rPr>
      </w:pPr>
      <w:r w:rsidRPr="000A7C4A">
        <w:rPr>
          <w:rFonts w:ascii="Century Gothic" w:hAnsi="Century Gothic" w:cs="Arial"/>
          <w:lang w:val="en-ZA"/>
        </w:rPr>
        <w:t>Rootless growth (growth that withers cultural identity); and</w:t>
      </w:r>
    </w:p>
    <w:p w14:paraId="2026C307" w14:textId="77777777" w:rsidR="005B2E9A" w:rsidRPr="000A7C4A" w:rsidRDefault="005B2E9A" w:rsidP="005B2E9A">
      <w:pPr>
        <w:pStyle w:val="NoSpacing"/>
        <w:numPr>
          <w:ilvl w:val="0"/>
          <w:numId w:val="2"/>
        </w:numPr>
        <w:jc w:val="both"/>
        <w:rPr>
          <w:rFonts w:ascii="Century Gothic" w:hAnsi="Century Gothic" w:cs="Arial"/>
        </w:rPr>
      </w:pPr>
      <w:r w:rsidRPr="000A7C4A">
        <w:rPr>
          <w:rFonts w:ascii="Century Gothic" w:hAnsi="Century Gothic" w:cs="Arial"/>
          <w:lang w:val="en-ZA"/>
        </w:rPr>
        <w:t>Futureless growth (growth that squanders resources needed by future generations).</w:t>
      </w:r>
    </w:p>
    <w:p w14:paraId="7F422712" w14:textId="77777777" w:rsidR="00D95C08" w:rsidRPr="000A7C4A" w:rsidRDefault="00D95C08" w:rsidP="005B2E9A">
      <w:pPr>
        <w:pStyle w:val="NoSpacing"/>
        <w:jc w:val="both"/>
        <w:rPr>
          <w:rFonts w:ascii="Century Gothic" w:hAnsi="Century Gothic" w:cs="Arial"/>
          <w:lang w:val="en-ZA"/>
        </w:rPr>
      </w:pPr>
    </w:p>
    <w:p w14:paraId="542E91C6" w14:textId="1924FE22" w:rsidR="006C523E" w:rsidRPr="000A7C4A" w:rsidRDefault="005B2E9A" w:rsidP="00AC66A4">
      <w:pPr>
        <w:pStyle w:val="NoSpacing"/>
        <w:jc w:val="both"/>
        <w:rPr>
          <w:rFonts w:ascii="Century Gothic" w:hAnsi="Century Gothic" w:cs="Arial"/>
        </w:rPr>
      </w:pPr>
      <w:r w:rsidRPr="000A7C4A">
        <w:rPr>
          <w:rFonts w:ascii="Century Gothic" w:hAnsi="Century Gothic" w:cs="Arial"/>
          <w:lang w:val="en-ZA"/>
        </w:rPr>
        <w:t xml:space="preserve">What is critical for human well-being, therefore, is the quality and distribution of growth, </w:t>
      </w:r>
      <w:r w:rsidR="00AC66A4" w:rsidRPr="000A7C4A">
        <w:rPr>
          <w:rFonts w:ascii="Century Gothic" w:hAnsi="Century Gothic" w:cs="Arial"/>
          <w:lang w:val="en-ZA"/>
        </w:rPr>
        <w:t xml:space="preserve">and </w:t>
      </w:r>
      <w:r w:rsidRPr="000A7C4A">
        <w:rPr>
          <w:rFonts w:ascii="Century Gothic" w:hAnsi="Century Gothic" w:cs="Arial"/>
          <w:lang w:val="en-ZA"/>
        </w:rPr>
        <w:t>not just its quantity.</w:t>
      </w:r>
      <w:r w:rsidR="006C523E" w:rsidRPr="000A7C4A">
        <w:rPr>
          <w:rFonts w:ascii="Century Gothic" w:hAnsi="Century Gothic" w:cs="Arial"/>
          <w:lang w:val="en-ZA"/>
        </w:rPr>
        <w:t xml:space="preserve"> Despite recording growth, this has not reversed the structural regression the economy has experienced in terms of de-industrialization and rapid informalization. On this, while </w:t>
      </w:r>
      <w:r w:rsidR="00AC66A4" w:rsidRPr="000A7C4A">
        <w:rPr>
          <w:rFonts w:ascii="Century Gothic" w:hAnsi="Century Gothic" w:cs="Arial"/>
          <w:lang w:val="en-ZA"/>
        </w:rPr>
        <w:t xml:space="preserve">a policy target of NDS1 was to </w:t>
      </w:r>
      <w:r w:rsidR="006C523E" w:rsidRPr="000A7C4A">
        <w:rPr>
          <w:rFonts w:ascii="Century Gothic" w:hAnsi="Century Gothic" w:cs="Arial"/>
          <w:lang w:val="en-US"/>
        </w:rPr>
        <w:t>increase the level of formal employment from 24% in 2020 to 30% by 2025</w:t>
      </w:r>
      <w:r w:rsidR="00AC66A4" w:rsidRPr="000A7C4A">
        <w:rPr>
          <w:rFonts w:ascii="Century Gothic" w:hAnsi="Century Gothic" w:cs="Arial"/>
          <w:lang w:val="en-US"/>
        </w:rPr>
        <w:t>, by third quarter 2024, informal employment accounted for 85.5% of total employment, implying formal employment had been reduced to 14.5%.</w:t>
      </w:r>
      <w:r w:rsidR="00E940BA" w:rsidRPr="000A7C4A">
        <w:rPr>
          <w:rFonts w:ascii="Century Gothic" w:hAnsi="Century Gothic" w:cs="Arial"/>
          <w:lang w:val="en-US"/>
        </w:rPr>
        <w:t xml:space="preserve"> Clearly therefore, there is need to reconsider the efficacy and effectiveness of achieving the lofty targets set out in NDS1 and NDS2, including structural transformation and rural development through conventional macroeconomic approaches steeped in ‘trickle-down’ frameworks.</w:t>
      </w:r>
    </w:p>
    <w:p w14:paraId="2872C566" w14:textId="77777777" w:rsidR="00E940BA" w:rsidRPr="000A7C4A" w:rsidRDefault="00E940BA" w:rsidP="00E940BA">
      <w:pPr>
        <w:pStyle w:val="NoSpacing"/>
        <w:jc w:val="both"/>
        <w:rPr>
          <w:rFonts w:ascii="Century Gothic" w:hAnsi="Century Gothic" w:cs="Arial"/>
          <w:lang w:val="en-ZA"/>
        </w:rPr>
      </w:pPr>
    </w:p>
    <w:p w14:paraId="75A412F6" w14:textId="2D86D3A9" w:rsidR="00E940BA" w:rsidRPr="000A7C4A" w:rsidRDefault="00E940BA" w:rsidP="00E940BA">
      <w:pPr>
        <w:pStyle w:val="NoSpacing"/>
        <w:jc w:val="both"/>
        <w:rPr>
          <w:rFonts w:ascii="Century Gothic" w:hAnsi="Century Gothic" w:cs="Arial"/>
          <w:lang w:val="en-ZA"/>
        </w:rPr>
      </w:pPr>
      <w:r w:rsidRPr="000A7C4A">
        <w:rPr>
          <w:rFonts w:ascii="Century Gothic" w:hAnsi="Century Gothic" w:cs="Arial"/>
          <w:lang w:val="en-ZA"/>
        </w:rPr>
        <w:t>In the apt words of the UNDP, “The economics of growth and its relationship with development, in particular, require radical rethinking. A vast theoretical and empirical literature almost uniformly equates economic growth with development … The central contention of the human development approach, by contrast, is that well-being is about much more than money: it is about the possibilities that people have to fulfill the life plans they have reason to choose and pursue. Thus, our call for a new economics – an economics of human development – in which the objective is to further human well-being and in which growth and other policies are evaluated and pursued vigorously insofar as they advance human development in the short and long term,” (2010:12).</w:t>
      </w:r>
    </w:p>
    <w:p w14:paraId="472FDDE2" w14:textId="77777777" w:rsidR="00A248CD" w:rsidRPr="000A7C4A" w:rsidRDefault="00A248CD" w:rsidP="00AC66A4">
      <w:pPr>
        <w:pStyle w:val="NoSpacing"/>
        <w:jc w:val="both"/>
        <w:rPr>
          <w:rFonts w:ascii="Century Gothic" w:hAnsi="Century Gothic" w:cs="Arial"/>
          <w:lang w:val="en-US"/>
        </w:rPr>
      </w:pPr>
    </w:p>
    <w:p w14:paraId="432D52D2" w14:textId="644233C7" w:rsidR="007B5000" w:rsidRPr="000A7C4A" w:rsidRDefault="007B5000" w:rsidP="00F659D8">
      <w:pPr>
        <w:pStyle w:val="NoSpacing"/>
        <w:ind w:left="720" w:hanging="720"/>
        <w:jc w:val="both"/>
        <w:rPr>
          <w:rFonts w:ascii="Century Gothic" w:hAnsi="Century Gothic" w:cs="Arial"/>
          <w:lang w:val="en-US"/>
        </w:rPr>
      </w:pPr>
      <w:r w:rsidRPr="000A7C4A">
        <w:rPr>
          <w:rFonts w:ascii="Century Gothic" w:hAnsi="Century Gothic" w:cs="Arial"/>
          <w:lang w:val="en-US"/>
        </w:rPr>
        <w:t>3.3</w:t>
      </w:r>
      <w:r w:rsidRPr="000A7C4A">
        <w:rPr>
          <w:rFonts w:ascii="Century Gothic" w:hAnsi="Century Gothic" w:cs="Arial"/>
          <w:lang w:val="en-US"/>
        </w:rPr>
        <w:tab/>
      </w:r>
      <w:r w:rsidR="00D31BF5" w:rsidRPr="000A7C4A">
        <w:rPr>
          <w:rFonts w:ascii="Century Gothic" w:hAnsi="Century Gothic" w:cs="Arial"/>
          <w:b/>
          <w:bCs/>
          <w:lang w:val="en-US"/>
        </w:rPr>
        <w:t xml:space="preserve">Employment is too important to be left to ‘trickle-down’ effects. </w:t>
      </w:r>
      <w:r w:rsidRPr="000A7C4A">
        <w:rPr>
          <w:rFonts w:ascii="Century Gothic" w:hAnsi="Century Gothic" w:cs="Arial"/>
          <w:b/>
          <w:bCs/>
          <w:i/>
          <w:iCs/>
          <w:lang w:val="en-US"/>
        </w:rPr>
        <w:t xml:space="preserve">There is a strong case to adopt a dual mandate </w:t>
      </w:r>
      <w:r w:rsidR="00F659D8" w:rsidRPr="000A7C4A">
        <w:rPr>
          <w:rFonts w:ascii="Century Gothic" w:hAnsi="Century Gothic" w:cs="Arial"/>
          <w:b/>
          <w:bCs/>
          <w:i/>
          <w:iCs/>
          <w:lang w:val="en-US"/>
        </w:rPr>
        <w:t>by including employment goals and targets in the macroeconomic framework</w:t>
      </w:r>
    </w:p>
    <w:p w14:paraId="719662BA" w14:textId="77777777" w:rsidR="007B5000" w:rsidRPr="000A7C4A" w:rsidRDefault="007B5000" w:rsidP="00AC66A4">
      <w:pPr>
        <w:pStyle w:val="NoSpacing"/>
        <w:jc w:val="both"/>
        <w:rPr>
          <w:rFonts w:ascii="Century Gothic" w:hAnsi="Century Gothic" w:cs="Arial"/>
          <w:lang w:val="en-US"/>
        </w:rPr>
      </w:pPr>
    </w:p>
    <w:p w14:paraId="57579B53" w14:textId="77777777" w:rsidR="0009009E" w:rsidRPr="000A7C4A" w:rsidRDefault="00C90D82" w:rsidP="00C90D82">
      <w:pPr>
        <w:pStyle w:val="NoSpacing"/>
        <w:jc w:val="both"/>
        <w:rPr>
          <w:rFonts w:ascii="Century Gothic" w:hAnsi="Century Gothic" w:cs="Arial"/>
          <w:lang w:val="en-ZA"/>
        </w:rPr>
      </w:pPr>
      <w:r w:rsidRPr="000A7C4A">
        <w:rPr>
          <w:rFonts w:ascii="Century Gothic" w:hAnsi="Century Gothic" w:cs="Arial"/>
          <w:lang w:val="en-ZA"/>
        </w:rPr>
        <w:t xml:space="preserve">It is now widely accepted that having good employment policies and targets is not enough if they are not implemented, as often is the case. </w:t>
      </w:r>
      <w:r w:rsidR="007B5000" w:rsidRPr="000A7C4A">
        <w:rPr>
          <w:rFonts w:ascii="Century Gothic" w:hAnsi="Century Gothic" w:cs="Arial"/>
          <w:lang w:val="en-US"/>
        </w:rPr>
        <w:t xml:space="preserve">Under NDS1, one key policy target was to create at least 760,000 formal jobs over the five-year period, which </w:t>
      </w:r>
      <w:r w:rsidR="0009009E" w:rsidRPr="000A7C4A">
        <w:rPr>
          <w:rFonts w:ascii="Century Gothic" w:hAnsi="Century Gothic" w:cs="Arial"/>
          <w:lang w:val="en-US"/>
        </w:rPr>
        <w:t>translates to</w:t>
      </w:r>
      <w:r w:rsidR="007B5000" w:rsidRPr="000A7C4A">
        <w:rPr>
          <w:rFonts w:ascii="Century Gothic" w:hAnsi="Century Gothic" w:cs="Arial"/>
          <w:lang w:val="en-US"/>
        </w:rPr>
        <w:t xml:space="preserve"> 152,000 jobs per year. </w:t>
      </w:r>
      <w:r w:rsidR="0009009E" w:rsidRPr="000A7C4A">
        <w:rPr>
          <w:rFonts w:ascii="Century Gothic" w:hAnsi="Century Gothic" w:cs="Arial"/>
          <w:lang w:val="en-US"/>
        </w:rPr>
        <w:t>Yet the 2026 National Budget makes no reference to this important policy objective. As widely acknowledged, d</w:t>
      </w:r>
      <w:r w:rsidR="007B5000" w:rsidRPr="000A7C4A">
        <w:rPr>
          <w:rFonts w:ascii="Century Gothic" w:hAnsi="Century Gothic" w:cs="Arial"/>
          <w:lang w:val="en-US"/>
        </w:rPr>
        <w:t xml:space="preserve">ecent work is the link between growth and poverty reduction, and its eventual eradication. This therefore requires a more explicit approach </w:t>
      </w:r>
      <w:r w:rsidR="00F659D8" w:rsidRPr="000A7C4A">
        <w:rPr>
          <w:rFonts w:ascii="Century Gothic" w:hAnsi="Century Gothic" w:cs="Arial"/>
          <w:lang w:val="en-US"/>
        </w:rPr>
        <w:t xml:space="preserve">to promoting decent work, which is synonymous with formal employment. </w:t>
      </w:r>
      <w:r w:rsidRPr="000A7C4A">
        <w:rPr>
          <w:rFonts w:ascii="Century Gothic" w:hAnsi="Century Gothic" w:cs="Arial"/>
          <w:lang w:val="en-ZA"/>
        </w:rPr>
        <w:t xml:space="preserve">One way of ensuring implementation proposed by the ILO is the concept of pro-employment budgeting (PEB). </w:t>
      </w:r>
    </w:p>
    <w:p w14:paraId="1939A7EA" w14:textId="77777777" w:rsidR="0009009E" w:rsidRPr="000A7C4A" w:rsidRDefault="0009009E" w:rsidP="00C90D82">
      <w:pPr>
        <w:pStyle w:val="NoSpacing"/>
        <w:jc w:val="both"/>
        <w:rPr>
          <w:rFonts w:ascii="Century Gothic" w:hAnsi="Century Gothic" w:cs="Arial"/>
          <w:lang w:val="en-ZA"/>
        </w:rPr>
      </w:pPr>
    </w:p>
    <w:p w14:paraId="10DCB6D7" w14:textId="56EE90E6" w:rsidR="00C90D82" w:rsidRPr="000A7C4A" w:rsidRDefault="00F659D8" w:rsidP="00C90D82">
      <w:pPr>
        <w:pStyle w:val="NoSpacing"/>
        <w:jc w:val="both"/>
        <w:rPr>
          <w:rFonts w:ascii="Century Gothic" w:hAnsi="Century Gothic" w:cs="Arial"/>
          <w:lang w:val="en-ZA"/>
        </w:rPr>
      </w:pPr>
      <w:r w:rsidRPr="000A7C4A">
        <w:rPr>
          <w:rFonts w:ascii="Century Gothic" w:hAnsi="Century Gothic" w:cs="Arial"/>
          <w:lang w:val="en-US"/>
        </w:rPr>
        <w:t xml:space="preserve">To do so, there is need to move away from a singular focus on stability variables, to embrace employment as a policy goal in the macroeconomic framework. This implies the adoption of a dual mandate </w:t>
      </w:r>
      <w:r w:rsidR="007B5000" w:rsidRPr="000A7C4A">
        <w:rPr>
          <w:rFonts w:ascii="Century Gothic" w:hAnsi="Century Gothic" w:cs="Arial"/>
          <w:lang w:val="en-ZA"/>
        </w:rPr>
        <w:t>such that macroeconomic policy managers are both:</w:t>
      </w:r>
      <w:r w:rsidRPr="000A7C4A">
        <w:rPr>
          <w:rFonts w:ascii="Century Gothic" w:hAnsi="Century Gothic" w:cs="Arial"/>
        </w:rPr>
        <w:t xml:space="preserve"> </w:t>
      </w:r>
      <w:r w:rsidR="007B5000" w:rsidRPr="000A7C4A">
        <w:rPr>
          <w:rFonts w:ascii="Century Gothic" w:hAnsi="Century Gothic" w:cs="Arial"/>
          <w:lang w:val="en-ZA"/>
        </w:rPr>
        <w:t>(a) Guardians of</w:t>
      </w:r>
      <w:r w:rsidRPr="000A7C4A">
        <w:rPr>
          <w:rFonts w:ascii="Century Gothic" w:hAnsi="Century Gothic" w:cs="Arial"/>
          <w:lang w:val="en-ZA"/>
        </w:rPr>
        <w:t xml:space="preserve"> </w:t>
      </w:r>
      <w:r w:rsidR="007B5000" w:rsidRPr="000A7C4A">
        <w:rPr>
          <w:rFonts w:ascii="Century Gothic" w:hAnsi="Century Gothic" w:cs="Arial"/>
          <w:lang w:val="en-ZA"/>
        </w:rPr>
        <w:t>stability- price and financial stabilit</w:t>
      </w:r>
      <w:r w:rsidRPr="000A7C4A">
        <w:rPr>
          <w:rFonts w:ascii="Century Gothic" w:hAnsi="Century Gothic" w:cs="Arial"/>
          <w:lang w:val="en-ZA"/>
        </w:rPr>
        <w:t xml:space="preserve">y; and </w:t>
      </w:r>
      <w:r w:rsidR="007B5000" w:rsidRPr="000A7C4A">
        <w:rPr>
          <w:rFonts w:ascii="Century Gothic" w:hAnsi="Century Gothic" w:cs="Arial"/>
          <w:lang w:val="en-ZA"/>
        </w:rPr>
        <w:t>(b) Agents of development –</w:t>
      </w:r>
      <w:r w:rsidR="007B5000" w:rsidRPr="000A7C4A">
        <w:rPr>
          <w:rFonts w:ascii="Century Gothic" w:hAnsi="Century Gothic" w:cs="Arial"/>
          <w:b/>
          <w:bCs/>
          <w:lang w:val="en-ZA"/>
        </w:rPr>
        <w:t xml:space="preserve"> </w:t>
      </w:r>
      <w:r w:rsidR="007B5000" w:rsidRPr="000A7C4A">
        <w:rPr>
          <w:rFonts w:ascii="Century Gothic" w:hAnsi="Century Gothic" w:cs="Arial"/>
          <w:lang w:val="en-ZA"/>
        </w:rPr>
        <w:t>full employment</w:t>
      </w:r>
      <w:r w:rsidRPr="000A7C4A">
        <w:rPr>
          <w:rFonts w:ascii="Century Gothic" w:hAnsi="Century Gothic" w:cs="Arial"/>
          <w:lang w:val="en-ZA"/>
        </w:rPr>
        <w:t xml:space="preserve">. In which case, the </w:t>
      </w:r>
      <w:r w:rsidR="007B5000" w:rsidRPr="000A7C4A">
        <w:rPr>
          <w:rFonts w:ascii="Century Gothic" w:hAnsi="Century Gothic" w:cs="Arial"/>
          <w:lang w:val="en-US"/>
        </w:rPr>
        <w:t>challenge is to preserve the benefits of (a) while promoting (b)</w:t>
      </w:r>
      <w:r w:rsidRPr="000A7C4A">
        <w:rPr>
          <w:rFonts w:ascii="Century Gothic" w:hAnsi="Century Gothic" w:cs="Arial"/>
          <w:lang w:val="en-US"/>
        </w:rPr>
        <w:t xml:space="preserve">. </w:t>
      </w:r>
    </w:p>
    <w:p w14:paraId="7E5F1138" w14:textId="77777777" w:rsidR="00C90D82" w:rsidRPr="000A7C4A" w:rsidRDefault="00C90D82" w:rsidP="00C90D82">
      <w:pPr>
        <w:pStyle w:val="NoSpacing"/>
        <w:jc w:val="both"/>
        <w:rPr>
          <w:rFonts w:ascii="Century Gothic" w:hAnsi="Century Gothic" w:cs="Arial"/>
          <w:lang w:val="en-ZA"/>
        </w:rPr>
      </w:pPr>
    </w:p>
    <w:p w14:paraId="20249D9D" w14:textId="77777777" w:rsidR="00C90D82" w:rsidRPr="000A7C4A" w:rsidRDefault="00C90D82" w:rsidP="00C90D82">
      <w:pPr>
        <w:pStyle w:val="NoSpacing"/>
        <w:jc w:val="both"/>
        <w:rPr>
          <w:rFonts w:ascii="Century Gothic" w:hAnsi="Century Gothic" w:cs="Arial"/>
        </w:rPr>
      </w:pPr>
      <w:r w:rsidRPr="000A7C4A">
        <w:rPr>
          <w:rFonts w:ascii="Century Gothic" w:hAnsi="Century Gothic" w:cs="Arial"/>
        </w:rPr>
        <w:t>Pro-employment budgeting involves “</w:t>
      </w:r>
      <w:r w:rsidRPr="000A7C4A">
        <w:rPr>
          <w:rFonts w:ascii="Century Gothic" w:hAnsi="Century Gothic" w:cs="Arial"/>
          <w:lang w:val="en-GB"/>
        </w:rPr>
        <w:t xml:space="preserve">All the policies and budgets of all state-run structures include an employment aspect throughout the budgetary cycle (design, performance, follow up).” It entails mobilizing and allocating resources to implement policies to meet the objective of creating decent jobs. </w:t>
      </w:r>
      <w:r w:rsidRPr="000A7C4A">
        <w:rPr>
          <w:rFonts w:ascii="Century Gothic" w:hAnsi="Century Gothic" w:cs="Arial"/>
        </w:rPr>
        <w:t xml:space="preserve">The starting place is to rethink the macroeconomic policies to ensure coherence through the explicit promotion of pro-employment macroeconomic, industrial, sectoral and other policies, as well as inter-sectoral linkages (employment multipliers). </w:t>
      </w:r>
    </w:p>
    <w:p w14:paraId="60CC5E1C" w14:textId="77777777" w:rsidR="00C90D82" w:rsidRPr="000A7C4A" w:rsidRDefault="00C90D82" w:rsidP="00C90D82">
      <w:pPr>
        <w:pStyle w:val="NoSpacing"/>
        <w:jc w:val="both"/>
        <w:rPr>
          <w:rFonts w:ascii="Century Gothic" w:hAnsi="Century Gothic" w:cs="Arial"/>
          <w:lang w:val="en-US"/>
        </w:rPr>
      </w:pPr>
    </w:p>
    <w:p w14:paraId="37BF44B6" w14:textId="171A2363" w:rsidR="00C90D82" w:rsidRPr="000A7C4A" w:rsidRDefault="00C90D82" w:rsidP="00C90D82">
      <w:pPr>
        <w:pStyle w:val="NoSpacing"/>
        <w:jc w:val="both"/>
        <w:rPr>
          <w:rFonts w:ascii="Century Gothic" w:hAnsi="Century Gothic" w:cs="Arial"/>
          <w:lang w:val="en-US"/>
        </w:rPr>
      </w:pPr>
      <w:r w:rsidRPr="000A7C4A">
        <w:rPr>
          <w:rFonts w:ascii="Century Gothic" w:hAnsi="Century Gothic" w:cs="Arial"/>
          <w:lang w:val="en-US"/>
        </w:rPr>
        <w:t xml:space="preserve">Pro-employment Budgeting requires cross-sectional inclusion of employment in all budgetary procedures and stages. </w:t>
      </w:r>
      <w:r w:rsidRPr="000A7C4A">
        <w:rPr>
          <w:rFonts w:ascii="Century Gothic" w:hAnsi="Century Gothic" w:cs="Arial"/>
        </w:rPr>
        <w:t>At the design level, it is important to check if</w:t>
      </w:r>
      <w:r w:rsidRPr="000A7C4A">
        <w:rPr>
          <w:rFonts w:ascii="Century Gothic" w:hAnsi="Century Gothic" w:cs="Arial"/>
          <w:lang w:val="en-US"/>
        </w:rPr>
        <w:t xml:space="preserve"> employment is a criterion for budget allocations. When it comes to the adoption stage, are the institutions responsible for examining and voting on budgets familiar with employment issues?  At the stage of application</w:t>
      </w:r>
      <w:r w:rsidRPr="000A7C4A">
        <w:rPr>
          <w:rFonts w:ascii="Century Gothic" w:hAnsi="Century Gothic" w:cs="Arial"/>
          <w:lang w:val="en-GB"/>
        </w:rPr>
        <w:t xml:space="preserve">, </w:t>
      </w:r>
      <w:r w:rsidRPr="000A7C4A">
        <w:rPr>
          <w:rFonts w:ascii="Century Gothic" w:hAnsi="Century Gothic" w:cs="Arial"/>
          <w:lang w:val="en-US"/>
        </w:rPr>
        <w:t>does the budget performance meet the commitments on employment? Finally, at the follow</w:t>
      </w:r>
      <w:r w:rsidRPr="000A7C4A">
        <w:rPr>
          <w:rFonts w:ascii="Century Gothic" w:hAnsi="Century Gothic" w:cs="Arial"/>
          <w:lang w:val="en-GB"/>
        </w:rPr>
        <w:t>-up stage, i</w:t>
      </w:r>
      <w:r w:rsidRPr="000A7C4A">
        <w:rPr>
          <w:rFonts w:ascii="Century Gothic" w:hAnsi="Century Gothic" w:cs="Arial"/>
          <w:lang w:val="en-US"/>
        </w:rPr>
        <w:t>s employment a criterion for assessing the performance of budgetary schemes?</w:t>
      </w:r>
    </w:p>
    <w:p w14:paraId="3FBBC831" w14:textId="77777777" w:rsidR="00C90D82" w:rsidRPr="000A7C4A" w:rsidRDefault="00C90D82" w:rsidP="00C90D82">
      <w:pPr>
        <w:pStyle w:val="NoSpacing"/>
        <w:jc w:val="both"/>
        <w:rPr>
          <w:rFonts w:ascii="Century Gothic" w:hAnsi="Century Gothic" w:cs="Arial"/>
        </w:rPr>
      </w:pPr>
    </w:p>
    <w:p w14:paraId="4D5F5D7F" w14:textId="6FB456A3" w:rsidR="007B5000" w:rsidRPr="000A7C4A" w:rsidRDefault="00C90D82" w:rsidP="00AC66A4">
      <w:pPr>
        <w:pStyle w:val="NoSpacing"/>
        <w:jc w:val="both"/>
        <w:rPr>
          <w:rFonts w:ascii="Century Gothic" w:hAnsi="Century Gothic"/>
          <w:sz w:val="24"/>
          <w:szCs w:val="24"/>
        </w:rPr>
      </w:pPr>
      <w:r w:rsidRPr="000A7C4A">
        <w:rPr>
          <w:rFonts w:ascii="Century Gothic" w:hAnsi="Century Gothic"/>
          <w:sz w:val="24"/>
          <w:szCs w:val="24"/>
        </w:rPr>
        <w:t>Apart from the outstanding example of China,</w:t>
      </w:r>
      <w:r w:rsidRPr="000A7C4A">
        <w:rPr>
          <w:rStyle w:val="FootnoteReference"/>
          <w:rFonts w:ascii="Century Gothic" w:hAnsi="Century Gothic"/>
          <w:sz w:val="24"/>
          <w:szCs w:val="24"/>
        </w:rPr>
        <w:footnoteReference w:id="3"/>
      </w:r>
      <w:r w:rsidRPr="000A7C4A">
        <w:rPr>
          <w:rFonts w:ascii="Century Gothic" w:hAnsi="Century Gothic"/>
          <w:sz w:val="24"/>
          <w:szCs w:val="24"/>
        </w:rPr>
        <w:t xml:space="preserve"> the case study of </w:t>
      </w:r>
      <w:r w:rsidR="0009009E" w:rsidRPr="000A7C4A">
        <w:rPr>
          <w:rFonts w:ascii="Century Gothic" w:hAnsi="Century Gothic"/>
          <w:sz w:val="24"/>
          <w:szCs w:val="24"/>
        </w:rPr>
        <w:t>Tanzania</w:t>
      </w:r>
      <w:r w:rsidRPr="000A7C4A">
        <w:rPr>
          <w:rFonts w:ascii="Century Gothic" w:hAnsi="Century Gothic"/>
          <w:sz w:val="24"/>
          <w:szCs w:val="24"/>
        </w:rPr>
        <w:t xml:space="preserve"> has been showcased by the ILO as a good practice in pro-employment budgeting.</w:t>
      </w:r>
      <w:r w:rsidR="0009009E" w:rsidRPr="000A7C4A">
        <w:rPr>
          <w:rStyle w:val="FootnoteReference"/>
          <w:rFonts w:ascii="Century Gothic" w:hAnsi="Century Gothic"/>
          <w:sz w:val="24"/>
          <w:szCs w:val="24"/>
        </w:rPr>
        <w:footnoteReference w:id="4"/>
      </w:r>
    </w:p>
    <w:p w14:paraId="2B11ACA3" w14:textId="77777777" w:rsidR="00C90D82" w:rsidRPr="000A7C4A" w:rsidRDefault="00C90D82" w:rsidP="00AC66A4">
      <w:pPr>
        <w:pStyle w:val="NoSpacing"/>
        <w:jc w:val="both"/>
        <w:rPr>
          <w:rFonts w:ascii="Century Gothic" w:hAnsi="Century Gothic" w:cs="Arial"/>
          <w:lang w:val="en-US"/>
        </w:rPr>
      </w:pPr>
    </w:p>
    <w:p w14:paraId="2AAF10AF" w14:textId="0D84D2AA" w:rsidR="00AD3E75" w:rsidRPr="000A7C4A" w:rsidRDefault="00AC66A4" w:rsidP="00AC66A4">
      <w:pPr>
        <w:pStyle w:val="NoSpacing"/>
        <w:ind w:left="720" w:hanging="720"/>
        <w:jc w:val="both"/>
        <w:rPr>
          <w:rFonts w:ascii="Century Gothic" w:hAnsi="Century Gothic" w:cs="Arial"/>
          <w:lang w:val="en-US"/>
        </w:rPr>
      </w:pPr>
      <w:r w:rsidRPr="000A7C4A">
        <w:rPr>
          <w:rFonts w:ascii="Century Gothic" w:hAnsi="Century Gothic" w:cs="Arial"/>
          <w:lang w:val="en-US"/>
        </w:rPr>
        <w:t>3.</w:t>
      </w:r>
      <w:r w:rsidR="0009009E" w:rsidRPr="000A7C4A">
        <w:rPr>
          <w:rFonts w:ascii="Century Gothic" w:hAnsi="Century Gothic" w:cs="Arial"/>
          <w:lang w:val="en-US"/>
        </w:rPr>
        <w:t>4</w:t>
      </w:r>
      <w:r w:rsidRPr="000A7C4A">
        <w:rPr>
          <w:rFonts w:ascii="Century Gothic" w:hAnsi="Century Gothic" w:cs="Arial"/>
          <w:lang w:val="en-US"/>
        </w:rPr>
        <w:tab/>
      </w:r>
      <w:r w:rsidR="00AD3E75" w:rsidRPr="000A7C4A">
        <w:rPr>
          <w:rFonts w:ascii="Century Gothic" w:hAnsi="Century Gothic" w:cs="Arial"/>
          <w:b/>
          <w:bCs/>
          <w:lang w:val="en-US"/>
        </w:rPr>
        <w:t>Public Finance Developments:</w:t>
      </w:r>
      <w:r w:rsidR="00AD3E75" w:rsidRPr="000A7C4A">
        <w:rPr>
          <w:rFonts w:ascii="Century Gothic" w:hAnsi="Century Gothic" w:cs="Arial"/>
          <w:b/>
          <w:bCs/>
          <w:i/>
          <w:iCs/>
        </w:rPr>
        <w:t xml:space="preserve"> While the fiscal deficit is relatively small, financing challenges are elevated.</w:t>
      </w:r>
    </w:p>
    <w:p w14:paraId="231863FF" w14:textId="5DF85C7E" w:rsidR="00D862F5" w:rsidRPr="000A7C4A" w:rsidRDefault="00D862F5" w:rsidP="009A1F23">
      <w:pPr>
        <w:pStyle w:val="NoSpacing"/>
        <w:jc w:val="both"/>
        <w:rPr>
          <w:rFonts w:ascii="Century Gothic" w:hAnsi="Century Gothic" w:cs="Arial"/>
          <w:lang w:val="en-US"/>
        </w:rPr>
      </w:pPr>
    </w:p>
    <w:p w14:paraId="27410C5B" w14:textId="77777777" w:rsidR="003B285B" w:rsidRPr="000A7C4A" w:rsidRDefault="00D862F5" w:rsidP="009A1F23">
      <w:pPr>
        <w:pStyle w:val="NoSpacing"/>
        <w:jc w:val="both"/>
        <w:rPr>
          <w:rFonts w:ascii="Century Gothic" w:hAnsi="Century Gothic" w:cs="Arial"/>
        </w:rPr>
      </w:pPr>
      <w:r w:rsidRPr="000A7C4A">
        <w:rPr>
          <w:rFonts w:ascii="Century Gothic" w:hAnsi="Century Gothic" w:cs="Arial"/>
          <w:lang w:val="en-US"/>
        </w:rPr>
        <w:t xml:space="preserve">The 2025 National Budget was </w:t>
      </w:r>
      <w:r w:rsidR="004E2035" w:rsidRPr="000A7C4A">
        <w:rPr>
          <w:rFonts w:ascii="Century Gothic" w:hAnsi="Century Gothic" w:cs="Arial"/>
          <w:lang w:val="en-US"/>
        </w:rPr>
        <w:t>based</w:t>
      </w:r>
      <w:r w:rsidRPr="000A7C4A">
        <w:rPr>
          <w:rFonts w:ascii="Century Gothic" w:hAnsi="Century Gothic" w:cs="Arial"/>
          <w:lang w:val="en-US"/>
        </w:rPr>
        <w:t xml:space="preserve"> on total revenue collections of ZiG270.3 billion (19.6% of GDP), against expenditures of ZiG276.4 billion (20.1% of GDP) and a targeted budget deficit of ZiG6.1 billion (0.4% of GDP). In US dollar terms, the 2025 fiscal framework was premised on revenue collections of a</w:t>
      </w:r>
      <w:r w:rsidR="004E2035" w:rsidRPr="000A7C4A">
        <w:rPr>
          <w:rFonts w:ascii="Century Gothic" w:hAnsi="Century Gothic" w:cs="Arial"/>
          <w:lang w:val="en-US"/>
        </w:rPr>
        <w:t xml:space="preserve">bout </w:t>
      </w:r>
      <w:r w:rsidRPr="000A7C4A">
        <w:rPr>
          <w:rFonts w:ascii="Century Gothic" w:hAnsi="Century Gothic" w:cs="Arial"/>
          <w:lang w:val="en-US"/>
        </w:rPr>
        <w:t>US$7.5 billion and total expenditures of a</w:t>
      </w:r>
      <w:r w:rsidR="004E2035" w:rsidRPr="000A7C4A">
        <w:rPr>
          <w:rFonts w:ascii="Century Gothic" w:hAnsi="Century Gothic" w:cs="Arial"/>
          <w:lang w:val="en-US"/>
        </w:rPr>
        <w:t xml:space="preserve">lmost </w:t>
      </w:r>
      <w:r w:rsidRPr="000A7C4A">
        <w:rPr>
          <w:rFonts w:ascii="Century Gothic" w:hAnsi="Century Gothic" w:cs="Arial"/>
          <w:lang w:val="en-US"/>
        </w:rPr>
        <w:t>US$7.7 billion, resulting in a budget deficit of US$168.4 million.</w:t>
      </w:r>
      <w:r w:rsidR="003B285B" w:rsidRPr="000A7C4A">
        <w:rPr>
          <w:rFonts w:ascii="Century Gothic" w:hAnsi="Century Gothic" w:cs="Arial"/>
          <w:lang w:val="en-US"/>
        </w:rPr>
        <w:t xml:space="preserve"> Revenue collections stood at US$5.9 billion during the period January-September 2025, against a target of US$5.2 billion, and expenditures of US$5.7 billion.</w:t>
      </w:r>
    </w:p>
    <w:p w14:paraId="5184AA35" w14:textId="343A294F" w:rsidR="00D862F5" w:rsidRPr="000A7C4A" w:rsidRDefault="00D862F5" w:rsidP="009A1F23">
      <w:pPr>
        <w:pStyle w:val="NoSpacing"/>
        <w:jc w:val="both"/>
        <w:rPr>
          <w:rFonts w:ascii="Century Gothic" w:hAnsi="Century Gothic" w:cs="Arial"/>
        </w:rPr>
      </w:pPr>
      <w:r w:rsidRPr="000A7C4A">
        <w:rPr>
          <w:rFonts w:ascii="Century Gothic" w:hAnsi="Century Gothic" w:cs="Arial"/>
          <w:lang w:val="en-US"/>
        </w:rPr>
        <w:t xml:space="preserve"> </w:t>
      </w:r>
    </w:p>
    <w:p w14:paraId="027DD81D" w14:textId="326F2974" w:rsidR="004E2035" w:rsidRPr="000A7C4A" w:rsidRDefault="00D862F5" w:rsidP="009A1F23">
      <w:pPr>
        <w:pStyle w:val="NoSpacing"/>
        <w:jc w:val="both"/>
        <w:rPr>
          <w:rFonts w:ascii="Century Gothic" w:hAnsi="Century Gothic" w:cs="Arial"/>
        </w:rPr>
      </w:pPr>
      <w:r w:rsidRPr="000A7C4A">
        <w:rPr>
          <w:rFonts w:ascii="Century Gothic" w:hAnsi="Century Gothic" w:cs="Arial"/>
          <w:lang w:val="en-US"/>
        </w:rPr>
        <w:t xml:space="preserve">While the fiscal deficit is modest, </w:t>
      </w:r>
      <w:r w:rsidR="004E2035" w:rsidRPr="000A7C4A">
        <w:rPr>
          <w:rFonts w:ascii="Century Gothic" w:hAnsi="Century Gothic" w:cs="Arial"/>
          <w:lang w:val="en-US"/>
        </w:rPr>
        <w:t xml:space="preserve">however, </w:t>
      </w:r>
      <w:r w:rsidRPr="000A7C4A">
        <w:rPr>
          <w:rFonts w:ascii="Century Gothic" w:hAnsi="Century Gothic" w:cs="Arial"/>
          <w:lang w:val="en-US"/>
        </w:rPr>
        <w:t xml:space="preserve">financing </w:t>
      </w:r>
      <w:r w:rsidR="004E2035" w:rsidRPr="000A7C4A">
        <w:rPr>
          <w:rFonts w:ascii="Century Gothic" w:hAnsi="Century Gothic" w:cs="Arial"/>
          <w:lang w:val="en-US"/>
        </w:rPr>
        <w:t>issues</w:t>
      </w:r>
      <w:r w:rsidRPr="000A7C4A">
        <w:rPr>
          <w:rFonts w:ascii="Century Gothic" w:hAnsi="Century Gothic" w:cs="Arial"/>
          <w:lang w:val="en-US"/>
        </w:rPr>
        <w:t xml:space="preserve"> persist </w:t>
      </w:r>
      <w:r w:rsidR="004E2035" w:rsidRPr="000A7C4A">
        <w:rPr>
          <w:rFonts w:ascii="Century Gothic" w:hAnsi="Century Gothic" w:cs="Arial"/>
          <w:lang w:val="en-US"/>
        </w:rPr>
        <w:t>against a backdrop of r</w:t>
      </w:r>
      <w:r w:rsidRPr="000A7C4A">
        <w:rPr>
          <w:rFonts w:ascii="Century Gothic" w:hAnsi="Century Gothic" w:cs="Arial"/>
          <w:lang w:val="en-US"/>
        </w:rPr>
        <w:t>estricted access to multilateral concessional funding</w:t>
      </w:r>
      <w:r w:rsidR="004E2035" w:rsidRPr="000A7C4A">
        <w:rPr>
          <w:rFonts w:ascii="Century Gothic" w:hAnsi="Century Gothic" w:cs="Arial"/>
          <w:lang w:val="en-US"/>
        </w:rPr>
        <w:t xml:space="preserve"> and withdrawal of donor support</w:t>
      </w:r>
      <w:r w:rsidRPr="000A7C4A">
        <w:rPr>
          <w:rFonts w:ascii="Century Gothic" w:hAnsi="Century Gothic" w:cs="Arial"/>
          <w:lang w:val="en-US"/>
        </w:rPr>
        <w:t xml:space="preserve">. </w:t>
      </w:r>
      <w:r w:rsidR="003B285B" w:rsidRPr="000A7C4A">
        <w:rPr>
          <w:rFonts w:ascii="Century Gothic" w:hAnsi="Century Gothic" w:cs="Arial"/>
          <w:lang w:val="en-US"/>
        </w:rPr>
        <w:t xml:space="preserve">Development assistance amounted to </w:t>
      </w:r>
      <w:r w:rsidR="004E2035" w:rsidRPr="000A7C4A">
        <w:rPr>
          <w:rFonts w:ascii="Century Gothic" w:hAnsi="Century Gothic" w:cs="Arial"/>
          <w:lang w:val="en-US"/>
        </w:rPr>
        <w:t xml:space="preserve">US$386.1 million during the period January – September 2025, against an annual target of US$500 million. In 2026, development assistance is projected to fall </w:t>
      </w:r>
      <w:r w:rsidR="003B285B" w:rsidRPr="000A7C4A">
        <w:rPr>
          <w:rFonts w:ascii="Century Gothic" w:hAnsi="Century Gothic" w:cs="Arial"/>
          <w:lang w:val="en-US"/>
        </w:rPr>
        <w:t>by 30% to</w:t>
      </w:r>
      <w:r w:rsidR="004E2035" w:rsidRPr="000A7C4A">
        <w:rPr>
          <w:rFonts w:ascii="Century Gothic" w:hAnsi="Century Gothic" w:cs="Arial"/>
          <w:lang w:val="en-US"/>
        </w:rPr>
        <w:t xml:space="preserve"> US$350 million</w:t>
      </w:r>
      <w:r w:rsidR="003B285B" w:rsidRPr="000A7C4A">
        <w:rPr>
          <w:rFonts w:ascii="Century Gothic" w:hAnsi="Century Gothic" w:cs="Arial"/>
          <w:lang w:val="en-US"/>
        </w:rPr>
        <w:t xml:space="preserve"> because of declining </w:t>
      </w:r>
      <w:r w:rsidR="004E2035" w:rsidRPr="000A7C4A">
        <w:rPr>
          <w:rFonts w:ascii="Century Gothic" w:hAnsi="Century Gothic" w:cs="Arial"/>
          <w:lang w:val="en-US"/>
        </w:rPr>
        <w:t xml:space="preserve">global </w:t>
      </w:r>
      <w:r w:rsidR="003B285B" w:rsidRPr="000A7C4A">
        <w:rPr>
          <w:rFonts w:ascii="Century Gothic" w:hAnsi="Century Gothic" w:cs="Arial"/>
          <w:lang w:val="en-US"/>
        </w:rPr>
        <w:t>aid</w:t>
      </w:r>
      <w:r w:rsidR="004E2035" w:rsidRPr="000A7C4A">
        <w:rPr>
          <w:rFonts w:ascii="Century Gothic" w:hAnsi="Century Gothic" w:cs="Arial"/>
          <w:lang w:val="en-US"/>
        </w:rPr>
        <w:t xml:space="preserve"> flows.</w:t>
      </w:r>
      <w:r w:rsidR="003B285B" w:rsidRPr="000A7C4A">
        <w:rPr>
          <w:rFonts w:ascii="Century Gothic" w:hAnsi="Century Gothic" w:cs="Arial"/>
          <w:lang w:val="en-US"/>
        </w:rPr>
        <w:t xml:space="preserve"> </w:t>
      </w:r>
    </w:p>
    <w:p w14:paraId="2A013686" w14:textId="30D8922C" w:rsidR="00D862F5" w:rsidRPr="000A7C4A" w:rsidRDefault="00D862F5" w:rsidP="009A1F23">
      <w:pPr>
        <w:pStyle w:val="NoSpacing"/>
        <w:jc w:val="both"/>
        <w:rPr>
          <w:rFonts w:ascii="Century Gothic" w:hAnsi="Century Gothic" w:cs="Arial"/>
        </w:rPr>
      </w:pPr>
    </w:p>
    <w:p w14:paraId="1254C0D7" w14:textId="02FC28DF" w:rsidR="008A7033" w:rsidRPr="000A7C4A" w:rsidRDefault="008A7033" w:rsidP="008A7033">
      <w:pPr>
        <w:pStyle w:val="NoSpacing"/>
        <w:jc w:val="both"/>
        <w:rPr>
          <w:rFonts w:ascii="Century Gothic" w:hAnsi="Century Gothic" w:cs="Arial"/>
        </w:rPr>
      </w:pPr>
      <w:r w:rsidRPr="000A7C4A">
        <w:rPr>
          <w:rFonts w:ascii="Century Gothic" w:hAnsi="Century Gothic" w:cs="Arial"/>
          <w:lang w:val="en-US"/>
        </w:rPr>
        <w:t xml:space="preserve">In 2026, Government is targeting to collect ZiG288 billion, or 16.9% of GDP (approx. US$9.4 billion) in revenues.  </w:t>
      </w:r>
      <w:r w:rsidRPr="000A7C4A">
        <w:rPr>
          <w:rFonts w:ascii="Century Gothic" w:hAnsi="Century Gothic" w:cs="Arial"/>
        </w:rPr>
        <w:t>O</w:t>
      </w:r>
      <w:r w:rsidR="009361F8" w:rsidRPr="000A7C4A">
        <w:rPr>
          <w:rFonts w:ascii="Century Gothic" w:hAnsi="Century Gothic" w:cs="Arial"/>
        </w:rPr>
        <w:t>verall,</w:t>
      </w:r>
      <w:r w:rsidRPr="000A7C4A">
        <w:rPr>
          <w:rFonts w:ascii="Century Gothic" w:hAnsi="Century Gothic" w:cs="Arial"/>
          <w:lang w:val="en-US"/>
        </w:rPr>
        <w:t xml:space="preserve"> expenditure is projected at ZiG290.9 billion (US$9.5 billion), 17% of GDP. Of this, recurrent expenditure stands at ZiG249.8 billion (US$8.2 billion) (85.9%) and capital expenditures </w:t>
      </w:r>
      <w:r w:rsidR="009361F8" w:rsidRPr="000A7C4A">
        <w:rPr>
          <w:rFonts w:ascii="Century Gothic" w:hAnsi="Century Gothic" w:cs="Arial"/>
          <w:lang w:val="en-US"/>
        </w:rPr>
        <w:t>at</w:t>
      </w:r>
      <w:r w:rsidRPr="000A7C4A">
        <w:rPr>
          <w:rFonts w:ascii="Century Gothic" w:hAnsi="Century Gothic" w:cs="Arial"/>
          <w:lang w:val="en-US"/>
        </w:rPr>
        <w:t xml:space="preserve"> ZiG41 billion (US$1.3 billion) (14%). A small deficit of ZiG3.2 billion (approx. US$105.9 million) (0.2% of GDP) is anticipated. </w:t>
      </w:r>
      <w:r w:rsidRPr="000A7C4A">
        <w:rPr>
          <w:rFonts w:ascii="Century Gothic" w:hAnsi="Century Gothic" w:cs="Arial"/>
          <w:lang w:val="en-US"/>
        </w:rPr>
        <w:lastRenderedPageBreak/>
        <w:t xml:space="preserve">In addition to the projected budget </w:t>
      </w:r>
      <w:r w:rsidR="009361F8" w:rsidRPr="000A7C4A">
        <w:rPr>
          <w:rFonts w:ascii="Century Gothic" w:hAnsi="Century Gothic" w:cs="Arial"/>
          <w:lang w:val="en-US"/>
        </w:rPr>
        <w:t xml:space="preserve">deficit, </w:t>
      </w:r>
      <w:r w:rsidRPr="000A7C4A">
        <w:rPr>
          <w:rFonts w:ascii="Century Gothic" w:hAnsi="Century Gothic" w:cs="Arial"/>
          <w:lang w:val="en-US"/>
        </w:rPr>
        <w:t xml:space="preserve">loan repayments </w:t>
      </w:r>
      <w:r w:rsidR="009361F8" w:rsidRPr="000A7C4A">
        <w:rPr>
          <w:rFonts w:ascii="Century Gothic" w:hAnsi="Century Gothic" w:cs="Arial"/>
          <w:lang w:val="en-US"/>
        </w:rPr>
        <w:t>of</w:t>
      </w:r>
      <w:r w:rsidRPr="000A7C4A">
        <w:rPr>
          <w:rFonts w:ascii="Century Gothic" w:hAnsi="Century Gothic" w:cs="Arial"/>
          <w:lang w:val="en-US"/>
        </w:rPr>
        <w:t xml:space="preserve"> ZiG11.5 billion</w:t>
      </w:r>
      <w:r w:rsidR="009361F8" w:rsidRPr="000A7C4A">
        <w:rPr>
          <w:rFonts w:ascii="Century Gothic" w:hAnsi="Century Gothic" w:cs="Arial"/>
          <w:lang w:val="en-US"/>
        </w:rPr>
        <w:t xml:space="preserve"> will</w:t>
      </w:r>
      <w:r w:rsidRPr="000A7C4A">
        <w:rPr>
          <w:rFonts w:ascii="Century Gothic" w:hAnsi="Century Gothic" w:cs="Arial"/>
          <w:lang w:val="en-US"/>
        </w:rPr>
        <w:t xml:space="preserve"> </w:t>
      </w:r>
      <w:r w:rsidR="009361F8" w:rsidRPr="000A7C4A">
        <w:rPr>
          <w:rFonts w:ascii="Century Gothic" w:hAnsi="Century Gothic" w:cs="Arial"/>
          <w:lang w:val="en-US"/>
        </w:rPr>
        <w:t xml:space="preserve">result in </w:t>
      </w:r>
      <w:r w:rsidRPr="000A7C4A">
        <w:rPr>
          <w:rFonts w:ascii="Century Gothic" w:hAnsi="Century Gothic" w:cs="Arial"/>
          <w:lang w:val="en-US"/>
        </w:rPr>
        <w:t xml:space="preserve">gross financing requirements </w:t>
      </w:r>
      <w:r w:rsidR="009361F8" w:rsidRPr="000A7C4A">
        <w:rPr>
          <w:rFonts w:ascii="Century Gothic" w:hAnsi="Century Gothic" w:cs="Arial"/>
          <w:lang w:val="en-US"/>
        </w:rPr>
        <w:t>of</w:t>
      </w:r>
      <w:r w:rsidRPr="000A7C4A">
        <w:rPr>
          <w:rFonts w:ascii="Century Gothic" w:hAnsi="Century Gothic" w:cs="Arial"/>
          <w:lang w:val="en-US"/>
        </w:rPr>
        <w:t xml:space="preserve"> ZiG14.7 billion (</w:t>
      </w:r>
      <w:r w:rsidR="00AC66A4" w:rsidRPr="000A7C4A">
        <w:rPr>
          <w:rFonts w:ascii="Century Gothic" w:hAnsi="Century Gothic" w:cs="Arial"/>
          <w:lang w:val="en-US"/>
        </w:rPr>
        <w:t>including</w:t>
      </w:r>
      <w:r w:rsidRPr="000A7C4A">
        <w:rPr>
          <w:rFonts w:ascii="Century Gothic" w:hAnsi="Century Gothic" w:cs="Arial"/>
          <w:lang w:val="en-US"/>
        </w:rPr>
        <w:t xml:space="preserve"> budget deficit of ZiG3.2 billion). This will be financed through the issuance of domestic securities </w:t>
      </w:r>
      <w:r w:rsidR="009361F8" w:rsidRPr="000A7C4A">
        <w:rPr>
          <w:rFonts w:ascii="Century Gothic" w:hAnsi="Century Gothic" w:cs="Arial"/>
          <w:lang w:val="en-US"/>
        </w:rPr>
        <w:t>at</w:t>
      </w:r>
      <w:r w:rsidRPr="000A7C4A">
        <w:rPr>
          <w:rFonts w:ascii="Century Gothic" w:hAnsi="Century Gothic" w:cs="Arial"/>
          <w:lang w:val="en-US"/>
        </w:rPr>
        <w:t xml:space="preserve"> ZiG12.7 billion and expected external loan </w:t>
      </w:r>
      <w:r w:rsidRPr="000A7C4A">
        <w:rPr>
          <w:rFonts w:ascii="Century Gothic" w:hAnsi="Century Gothic" w:cs="Arial"/>
        </w:rPr>
        <w:t>disbursements of ZiG2.1 billion.</w:t>
      </w:r>
    </w:p>
    <w:p w14:paraId="4DFA31C9" w14:textId="77777777" w:rsidR="008A7033" w:rsidRPr="000A7C4A" w:rsidRDefault="008A7033" w:rsidP="009A1F23">
      <w:pPr>
        <w:pStyle w:val="NoSpacing"/>
        <w:jc w:val="both"/>
        <w:rPr>
          <w:rFonts w:ascii="Century Gothic" w:hAnsi="Century Gothic" w:cs="Arial"/>
        </w:rPr>
      </w:pPr>
    </w:p>
    <w:p w14:paraId="7D4030B6" w14:textId="0019E643" w:rsidR="00C55A80" w:rsidRPr="000A7C4A" w:rsidRDefault="00AC66A4" w:rsidP="00AC66A4">
      <w:pPr>
        <w:pStyle w:val="NoSpacing"/>
        <w:ind w:left="720" w:hanging="720"/>
        <w:jc w:val="both"/>
        <w:rPr>
          <w:rFonts w:ascii="Century Gothic" w:hAnsi="Century Gothic" w:cs="Arial"/>
        </w:rPr>
      </w:pPr>
      <w:r w:rsidRPr="000A7C4A">
        <w:rPr>
          <w:rFonts w:ascii="Century Gothic" w:hAnsi="Century Gothic" w:cs="Arial"/>
        </w:rPr>
        <w:t>3.</w:t>
      </w:r>
      <w:r w:rsidR="0009009E" w:rsidRPr="000A7C4A">
        <w:rPr>
          <w:rFonts w:ascii="Century Gothic" w:hAnsi="Century Gothic" w:cs="Arial"/>
        </w:rPr>
        <w:t>4</w:t>
      </w:r>
      <w:r w:rsidRPr="000A7C4A">
        <w:rPr>
          <w:rFonts w:ascii="Century Gothic" w:hAnsi="Century Gothic" w:cs="Arial"/>
        </w:rPr>
        <w:t>.1</w:t>
      </w:r>
      <w:r w:rsidRPr="000A7C4A">
        <w:rPr>
          <w:rFonts w:ascii="Century Gothic" w:hAnsi="Century Gothic" w:cs="Arial"/>
        </w:rPr>
        <w:tab/>
      </w:r>
      <w:r w:rsidR="00C55A80" w:rsidRPr="000A7C4A">
        <w:rPr>
          <w:rFonts w:ascii="Century Gothic" w:hAnsi="Century Gothic" w:cs="Arial"/>
          <w:b/>
          <w:bCs/>
          <w:i/>
          <w:iCs/>
          <w:lang w:val="en-US"/>
        </w:rPr>
        <w:t>Low budget utilization rate of 56% and serious challenges</w:t>
      </w:r>
      <w:r w:rsidRPr="000A7C4A">
        <w:rPr>
          <w:rFonts w:ascii="Century Gothic" w:hAnsi="Century Gothic" w:cs="Arial"/>
          <w:b/>
          <w:bCs/>
          <w:i/>
          <w:iCs/>
          <w:lang w:val="en-US"/>
        </w:rPr>
        <w:t xml:space="preserve"> and weaknesses</w:t>
      </w:r>
      <w:r w:rsidR="00C55A80" w:rsidRPr="000A7C4A">
        <w:rPr>
          <w:rFonts w:ascii="Century Gothic" w:hAnsi="Century Gothic" w:cs="Arial"/>
          <w:b/>
          <w:bCs/>
          <w:i/>
          <w:iCs/>
          <w:lang w:val="en-US"/>
        </w:rPr>
        <w:t xml:space="preserve"> of public finance management </w:t>
      </w:r>
    </w:p>
    <w:p w14:paraId="2299AF21" w14:textId="77777777" w:rsidR="00C55A80" w:rsidRPr="000A7C4A" w:rsidRDefault="00C55A80" w:rsidP="009A1F23">
      <w:pPr>
        <w:pStyle w:val="NoSpacing"/>
        <w:jc w:val="both"/>
        <w:rPr>
          <w:rFonts w:ascii="Century Gothic" w:hAnsi="Century Gothic" w:cs="Arial"/>
          <w:lang w:val="en-US"/>
        </w:rPr>
      </w:pPr>
    </w:p>
    <w:p w14:paraId="7CE045F3" w14:textId="77777777" w:rsidR="00C55A80" w:rsidRPr="000A7C4A" w:rsidRDefault="00C55A80" w:rsidP="009A1F23">
      <w:pPr>
        <w:pStyle w:val="NoSpacing"/>
        <w:jc w:val="both"/>
        <w:rPr>
          <w:rFonts w:ascii="Century Gothic" w:hAnsi="Century Gothic" w:cs="Arial"/>
        </w:rPr>
      </w:pPr>
      <w:r w:rsidRPr="000A7C4A">
        <w:rPr>
          <w:rFonts w:ascii="Century Gothic" w:hAnsi="Century Gothic" w:cs="Arial"/>
          <w:lang w:val="en-US"/>
        </w:rPr>
        <w:t xml:space="preserve">Cumulative expenditures for the period January to September 2025 were ZiG152.5 billion, representing 55% budget utilization of the approved budget. Of this, recurrent expenditures amounted to ZiG114.8 billion (75% of expenditures), while capital expenditure stood at ZiG36.9 billion (24.2%). </w:t>
      </w:r>
      <w:r w:rsidRPr="000A7C4A">
        <w:rPr>
          <w:rFonts w:ascii="Century Gothic" w:hAnsi="Century Gothic" w:cs="Arial"/>
        </w:rPr>
        <w:t xml:space="preserve"> </w:t>
      </w:r>
    </w:p>
    <w:p w14:paraId="42E867A0" w14:textId="77777777" w:rsidR="00C55A80" w:rsidRPr="000A7C4A" w:rsidRDefault="00C55A80" w:rsidP="009A1F23">
      <w:pPr>
        <w:pStyle w:val="NoSpacing"/>
        <w:jc w:val="both"/>
        <w:rPr>
          <w:rFonts w:ascii="Century Gothic" w:hAnsi="Century Gothic" w:cs="Arial"/>
        </w:rPr>
      </w:pPr>
    </w:p>
    <w:p w14:paraId="68DC31C6" w14:textId="77777777" w:rsidR="00C55A80" w:rsidRPr="000A7C4A" w:rsidRDefault="00C55A80" w:rsidP="009A1F23">
      <w:pPr>
        <w:pStyle w:val="NoSpacing"/>
        <w:jc w:val="both"/>
        <w:rPr>
          <w:rFonts w:ascii="Century Gothic" w:hAnsi="Century Gothic" w:cs="Arial"/>
        </w:rPr>
      </w:pPr>
      <w:r w:rsidRPr="000A7C4A">
        <w:rPr>
          <w:rFonts w:ascii="Century Gothic" w:hAnsi="Century Gothic" w:cs="Arial"/>
          <w:lang w:val="en-US"/>
        </w:rPr>
        <w:t>As of 31 September 2025, Ministries, Departments and Agencies (MDAs) had utilized an average of 56% of their allocations (75% average utilization rate after considering the actual exchange rate outturn compared to the Budget exchange rate)</w:t>
      </w:r>
      <w:r w:rsidRPr="000A7C4A">
        <w:rPr>
          <w:rFonts w:ascii="Century Gothic" w:hAnsi="Century Gothic" w:cs="Arial"/>
        </w:rPr>
        <w:t xml:space="preserve">. </w:t>
      </w:r>
      <w:r w:rsidRPr="000A7C4A">
        <w:rPr>
          <w:rFonts w:ascii="Century Gothic" w:hAnsi="Century Gothic" w:cs="Arial"/>
          <w:lang w:val="en-US"/>
        </w:rPr>
        <w:t>The wildly uneven pattern of Budget utilization by MDAs is worrying, varying from as low as 16% (22% after adjustment) [Public Service Commission] to 223% (267%) [Transport &amp; Infrastructure development]. This suggests serious challenges with public finance management (PFM).</w:t>
      </w:r>
    </w:p>
    <w:p w14:paraId="626E7229" w14:textId="77777777" w:rsidR="00C55A80" w:rsidRPr="000A7C4A" w:rsidRDefault="00C55A80" w:rsidP="009A1F23">
      <w:pPr>
        <w:pStyle w:val="NoSpacing"/>
        <w:jc w:val="both"/>
        <w:rPr>
          <w:rFonts w:ascii="Century Gothic" w:hAnsi="Century Gothic" w:cs="Arial"/>
        </w:rPr>
      </w:pPr>
    </w:p>
    <w:p w14:paraId="28C94ABD" w14:textId="186C2543" w:rsidR="00C55A80" w:rsidRPr="000A7C4A" w:rsidRDefault="00C55A80" w:rsidP="009A1F23">
      <w:pPr>
        <w:pStyle w:val="NoSpacing"/>
        <w:jc w:val="both"/>
        <w:rPr>
          <w:rFonts w:ascii="Century Gothic" w:hAnsi="Century Gothic" w:cs="Arial"/>
        </w:rPr>
      </w:pPr>
      <w:r w:rsidRPr="000A7C4A">
        <w:rPr>
          <w:rFonts w:ascii="Century Gothic" w:hAnsi="Century Gothic" w:cs="Arial"/>
          <w:lang w:val="en-US"/>
        </w:rPr>
        <w:t xml:space="preserve">To complement Government revenue collections, ZiG7.4 billion was raised through the issuance of securities amounting to ZiG5.2 billion, domestic loans of ZiG2.1 billion and ZiG52 million from external loans and applied for servicing of Government </w:t>
      </w:r>
      <w:r w:rsidRPr="000A7C4A">
        <w:rPr>
          <w:rFonts w:ascii="Century Gothic" w:hAnsi="Century Gothic" w:cs="Arial"/>
        </w:rPr>
        <w:t>loan obligations.</w:t>
      </w:r>
      <w:r w:rsidR="00AC66A4" w:rsidRPr="000A7C4A">
        <w:rPr>
          <w:rFonts w:ascii="Century Gothic" w:hAnsi="Century Gothic" w:cs="Arial"/>
        </w:rPr>
        <w:t xml:space="preserve"> </w:t>
      </w:r>
      <w:r w:rsidRPr="000A7C4A">
        <w:rPr>
          <w:rFonts w:ascii="Century Gothic" w:hAnsi="Century Gothic" w:cs="Arial"/>
          <w:lang w:val="en-US"/>
        </w:rPr>
        <w:t>Cumulative revenue collections to year end are projected at ZiG215.7 billion (US$7.93 billion), against expenditures of ZiG219.46 billion (US$8.10 billion), resulting in a projected deficit of ZiG3.8 billion (US$140.1 million).</w:t>
      </w:r>
    </w:p>
    <w:p w14:paraId="4D450668" w14:textId="77777777" w:rsidR="00C55A80" w:rsidRPr="000A7C4A" w:rsidRDefault="00C55A80" w:rsidP="009A1F23">
      <w:pPr>
        <w:pStyle w:val="NoSpacing"/>
        <w:jc w:val="both"/>
        <w:rPr>
          <w:rFonts w:ascii="Century Gothic" w:hAnsi="Century Gothic" w:cs="Arial"/>
          <w:lang w:val="en-US"/>
        </w:rPr>
      </w:pPr>
    </w:p>
    <w:p w14:paraId="6C13A423" w14:textId="77777777" w:rsidR="00C55A80" w:rsidRPr="000A7C4A" w:rsidRDefault="00C55A80" w:rsidP="009A1F23">
      <w:pPr>
        <w:pStyle w:val="NoSpacing"/>
        <w:jc w:val="both"/>
        <w:rPr>
          <w:rFonts w:ascii="Century Gothic" w:hAnsi="Century Gothic" w:cs="Arial"/>
        </w:rPr>
      </w:pPr>
      <w:r w:rsidRPr="000A7C4A">
        <w:rPr>
          <w:rFonts w:ascii="Century Gothic" w:hAnsi="Century Gothic" w:cs="Arial"/>
          <w:lang w:val="en-US"/>
        </w:rPr>
        <w:t>The resultant deficit of ZiG3.8 billion, together with outstanding principal loan repayments of ZiG20.5 billion, results in gross financing requirement of ZiG24.4 billion. This will be financed through issuance of domestic securities and external loan disbursements, as well as loan restructuring. Ominously, the Budget Statement highlighted the extent of the challenge as follows: “During the remainder of the year, Treasury will focus on fiscal consolidation measures aimed at ensuring effective and efficient public spending to maintain macroeconomic stability. This prudent allocation of resources will uphold public sector functionality, while avoiding any reversal of the positive economic gains achieved thus far,” (paragraph 154, page 74-75). It adds</w:t>
      </w:r>
      <w:r w:rsidRPr="000A7C4A">
        <w:rPr>
          <w:rFonts w:ascii="Century Gothic" w:hAnsi="Century Gothic" w:cs="Arial"/>
        </w:rPr>
        <w:t xml:space="preserve">, </w:t>
      </w:r>
      <w:r w:rsidRPr="000A7C4A">
        <w:rPr>
          <w:rFonts w:ascii="Century Gothic" w:hAnsi="Century Gothic" w:cs="Arial"/>
          <w:lang w:val="en-US"/>
        </w:rPr>
        <w:t>“This will be achieved through the implementation of Treasury Call Circular No. 10 of 2025. MDAs are required to strictly adhere to the guidelines to avoid expenditure slippages with negative impact on economic stability,” (paragraph 155, page 75).</w:t>
      </w:r>
    </w:p>
    <w:p w14:paraId="504FB879" w14:textId="77777777" w:rsidR="00D862F5" w:rsidRPr="000A7C4A" w:rsidRDefault="00D862F5" w:rsidP="009A1F23">
      <w:pPr>
        <w:pStyle w:val="NoSpacing"/>
        <w:jc w:val="both"/>
        <w:rPr>
          <w:rFonts w:ascii="Century Gothic" w:hAnsi="Century Gothic" w:cs="Arial"/>
          <w:lang w:val="en-US"/>
        </w:rPr>
      </w:pPr>
    </w:p>
    <w:p w14:paraId="311D0E5A" w14:textId="1F1C288D" w:rsidR="00D862F5" w:rsidRPr="000A7C4A" w:rsidRDefault="00AC66A4" w:rsidP="009A1F23">
      <w:pPr>
        <w:pStyle w:val="NoSpacing"/>
        <w:jc w:val="both"/>
        <w:rPr>
          <w:rFonts w:ascii="Century Gothic" w:hAnsi="Century Gothic" w:cs="Arial"/>
          <w:lang w:val="en-US"/>
        </w:rPr>
      </w:pPr>
      <w:r w:rsidRPr="000A7C4A">
        <w:rPr>
          <w:rFonts w:ascii="Century Gothic" w:hAnsi="Century Gothic" w:cs="Arial"/>
          <w:lang w:val="en-US"/>
        </w:rPr>
        <w:t>3.</w:t>
      </w:r>
      <w:r w:rsidR="0009009E" w:rsidRPr="000A7C4A">
        <w:rPr>
          <w:rFonts w:ascii="Century Gothic" w:hAnsi="Century Gothic" w:cs="Arial"/>
          <w:lang w:val="en-US"/>
        </w:rPr>
        <w:t>4</w:t>
      </w:r>
      <w:r w:rsidRPr="000A7C4A">
        <w:rPr>
          <w:rFonts w:ascii="Century Gothic" w:hAnsi="Century Gothic" w:cs="Arial"/>
          <w:lang w:val="en-US"/>
        </w:rPr>
        <w:t>.2</w:t>
      </w:r>
      <w:r w:rsidRPr="000A7C4A">
        <w:rPr>
          <w:rFonts w:ascii="Century Gothic" w:hAnsi="Century Gothic" w:cs="Arial"/>
          <w:lang w:val="en-US"/>
        </w:rPr>
        <w:tab/>
      </w:r>
      <w:r w:rsidR="00D862F5" w:rsidRPr="000A7C4A">
        <w:rPr>
          <w:rFonts w:ascii="Century Gothic" w:hAnsi="Century Gothic" w:cs="Arial"/>
          <w:b/>
          <w:bCs/>
          <w:lang w:val="en-US"/>
        </w:rPr>
        <w:t>Regressive taxes</w:t>
      </w:r>
    </w:p>
    <w:p w14:paraId="59BEAAA2" w14:textId="77777777" w:rsidR="00AC66A4" w:rsidRPr="000A7C4A" w:rsidRDefault="00AC66A4" w:rsidP="009A1F23">
      <w:pPr>
        <w:pStyle w:val="NoSpacing"/>
        <w:jc w:val="both"/>
        <w:rPr>
          <w:rFonts w:ascii="Century Gothic" w:hAnsi="Century Gothic" w:cs="Arial"/>
          <w:lang w:val="en-US"/>
        </w:rPr>
      </w:pPr>
    </w:p>
    <w:p w14:paraId="0DB159C1" w14:textId="508A3C95" w:rsidR="00D862F5" w:rsidRPr="000A7C4A" w:rsidRDefault="00D862F5" w:rsidP="009A1F23">
      <w:pPr>
        <w:pStyle w:val="NoSpacing"/>
        <w:jc w:val="both"/>
        <w:rPr>
          <w:rFonts w:ascii="Century Gothic" w:hAnsi="Century Gothic" w:cs="Arial"/>
        </w:rPr>
      </w:pPr>
      <w:r w:rsidRPr="000A7C4A">
        <w:rPr>
          <w:rFonts w:ascii="Century Gothic" w:hAnsi="Century Gothic" w:cs="Arial"/>
          <w:lang w:val="en-US"/>
        </w:rPr>
        <w:t xml:space="preserve">The main contributors to the revenue collections were Value Added Tax (23.7%), Personal Income Tax (19.3%), Excise Duty (11.5%), Corporate Income Tax (11.2%) and Customs </w:t>
      </w:r>
      <w:r w:rsidRPr="000A7C4A">
        <w:rPr>
          <w:rFonts w:ascii="Century Gothic" w:hAnsi="Century Gothic" w:cs="Arial"/>
        </w:rPr>
        <w:t>Duty (6.9%).</w:t>
      </w:r>
      <w:r w:rsidR="007C227B" w:rsidRPr="000A7C4A">
        <w:rPr>
          <w:rFonts w:ascii="Century Gothic" w:hAnsi="Century Gothic" w:cs="Arial"/>
        </w:rPr>
        <w:t xml:space="preserve"> Ordinary Zimbabweans face a plethora of taxes that include pay-as-you-earn, contribution to social security, training (ZIMDEF), aids levy, rural electrification levy, presumptive taxes, sugar and pizza levies amongst others, which, as reflected in the relative overall contributions are regressive</w:t>
      </w:r>
      <w:r w:rsidR="00D91A8A" w:rsidRPr="000A7C4A">
        <w:rPr>
          <w:rFonts w:ascii="Century Gothic" w:hAnsi="Century Gothic" w:cs="Arial"/>
        </w:rPr>
        <w:t>, leaving the worker with a disposal income that is way below the living wage</w:t>
      </w:r>
      <w:r w:rsidR="007C227B" w:rsidRPr="000A7C4A">
        <w:rPr>
          <w:rFonts w:ascii="Century Gothic" w:hAnsi="Century Gothic" w:cs="Arial"/>
        </w:rPr>
        <w:t xml:space="preserve">.  </w:t>
      </w:r>
    </w:p>
    <w:p w14:paraId="037CDC67" w14:textId="77777777" w:rsidR="00D862F5" w:rsidRPr="000A7C4A" w:rsidRDefault="00D862F5" w:rsidP="009A1F23">
      <w:pPr>
        <w:pStyle w:val="NoSpacing"/>
        <w:jc w:val="both"/>
        <w:rPr>
          <w:rFonts w:ascii="Century Gothic" w:hAnsi="Century Gothic" w:cs="Arial"/>
          <w:lang w:val="en-US"/>
        </w:rPr>
      </w:pPr>
    </w:p>
    <w:p w14:paraId="01C61644" w14:textId="0C367D90" w:rsidR="00D862F5" w:rsidRPr="000A7C4A" w:rsidRDefault="0095401E" w:rsidP="009A1F23">
      <w:pPr>
        <w:pStyle w:val="NoSpacing"/>
        <w:ind w:left="720" w:hanging="720"/>
        <w:jc w:val="both"/>
        <w:rPr>
          <w:rFonts w:ascii="Century Gothic" w:hAnsi="Century Gothic" w:cs="Arial"/>
          <w:lang w:val="en-US"/>
        </w:rPr>
      </w:pPr>
      <w:r w:rsidRPr="000A7C4A">
        <w:rPr>
          <w:rFonts w:ascii="Century Gothic" w:hAnsi="Century Gothic" w:cs="Arial"/>
          <w:lang w:val="en-US"/>
        </w:rPr>
        <w:t>3.</w:t>
      </w:r>
      <w:r w:rsidR="0009009E" w:rsidRPr="000A7C4A">
        <w:rPr>
          <w:rFonts w:ascii="Century Gothic" w:hAnsi="Century Gothic" w:cs="Arial"/>
          <w:lang w:val="en-US"/>
        </w:rPr>
        <w:t>5</w:t>
      </w:r>
      <w:r w:rsidRPr="000A7C4A">
        <w:rPr>
          <w:rFonts w:ascii="Century Gothic" w:hAnsi="Century Gothic" w:cs="Arial"/>
          <w:lang w:val="en-US"/>
        </w:rPr>
        <w:tab/>
      </w:r>
      <w:r w:rsidR="00D81721" w:rsidRPr="000A7C4A">
        <w:rPr>
          <w:rFonts w:ascii="Century Gothic" w:hAnsi="Century Gothic" w:cs="Arial"/>
          <w:b/>
          <w:bCs/>
          <w:lang w:val="en-US"/>
        </w:rPr>
        <w:t xml:space="preserve">Unsustainable </w:t>
      </w:r>
      <w:r w:rsidR="00D862F5" w:rsidRPr="000A7C4A">
        <w:rPr>
          <w:rFonts w:ascii="Century Gothic" w:hAnsi="Century Gothic" w:cs="Arial"/>
          <w:b/>
          <w:bCs/>
        </w:rPr>
        <w:t>Public Debt</w:t>
      </w:r>
      <w:r w:rsidR="00DB4379" w:rsidRPr="000A7C4A">
        <w:rPr>
          <w:rFonts w:ascii="Century Gothic" w:hAnsi="Century Gothic" w:cs="Arial"/>
          <w:b/>
          <w:bCs/>
        </w:rPr>
        <w:t xml:space="preserve">: </w:t>
      </w:r>
      <w:r w:rsidR="00D81721" w:rsidRPr="000A7C4A">
        <w:rPr>
          <w:rFonts w:ascii="Century Gothic" w:hAnsi="Century Gothic" w:cs="Arial"/>
          <w:b/>
          <w:bCs/>
          <w:i/>
          <w:iCs/>
        </w:rPr>
        <w:t>Zimbabwe is in d</w:t>
      </w:r>
      <w:r w:rsidR="00DB4379" w:rsidRPr="000A7C4A">
        <w:rPr>
          <w:rFonts w:ascii="Century Gothic" w:hAnsi="Century Gothic" w:cs="Arial"/>
          <w:b/>
          <w:bCs/>
          <w:i/>
          <w:iCs/>
        </w:rPr>
        <w:t>ebt distress</w:t>
      </w:r>
      <w:r w:rsidR="00D81721" w:rsidRPr="000A7C4A">
        <w:rPr>
          <w:rFonts w:ascii="Century Gothic" w:hAnsi="Century Gothic" w:cs="Arial"/>
          <w:b/>
          <w:bCs/>
          <w:i/>
          <w:iCs/>
        </w:rPr>
        <w:t>,</w:t>
      </w:r>
      <w:r w:rsidR="00DB4379" w:rsidRPr="000A7C4A">
        <w:rPr>
          <w:rFonts w:ascii="Century Gothic" w:hAnsi="Century Gothic" w:cs="Arial"/>
          <w:b/>
          <w:bCs/>
          <w:i/>
          <w:iCs/>
        </w:rPr>
        <w:t xml:space="preserve"> undermining access to external finance</w:t>
      </w:r>
      <w:r w:rsidRPr="000A7C4A">
        <w:rPr>
          <w:rFonts w:ascii="Century Gothic" w:hAnsi="Century Gothic" w:cs="Arial"/>
          <w:b/>
          <w:bCs/>
          <w:i/>
          <w:iCs/>
        </w:rPr>
        <w:t>, with a worrisome build-up of domestic debt</w:t>
      </w:r>
      <w:r w:rsidR="00D81721" w:rsidRPr="000A7C4A">
        <w:rPr>
          <w:rFonts w:ascii="Century Gothic" w:hAnsi="Century Gothic" w:cs="Arial"/>
          <w:b/>
          <w:bCs/>
          <w:i/>
          <w:iCs/>
        </w:rPr>
        <w:t xml:space="preserve"> in recent years</w:t>
      </w:r>
    </w:p>
    <w:p w14:paraId="7EBD07E8" w14:textId="77777777" w:rsidR="00D862F5" w:rsidRPr="000A7C4A" w:rsidRDefault="00D862F5" w:rsidP="009A1F23">
      <w:pPr>
        <w:pStyle w:val="NoSpacing"/>
        <w:jc w:val="both"/>
        <w:rPr>
          <w:rFonts w:ascii="Century Gothic" w:hAnsi="Century Gothic" w:cs="Arial"/>
          <w:lang w:val="en-US"/>
        </w:rPr>
      </w:pPr>
    </w:p>
    <w:p w14:paraId="518498B6" w14:textId="29B50265" w:rsidR="00D862F5" w:rsidRPr="000A7C4A" w:rsidRDefault="00D862F5" w:rsidP="009A1F23">
      <w:pPr>
        <w:pStyle w:val="NoSpacing"/>
        <w:jc w:val="both"/>
        <w:rPr>
          <w:rFonts w:ascii="Century Gothic" w:hAnsi="Century Gothic" w:cs="Arial"/>
        </w:rPr>
      </w:pPr>
      <w:r w:rsidRPr="000A7C4A">
        <w:rPr>
          <w:rFonts w:ascii="Century Gothic" w:hAnsi="Century Gothic" w:cs="Arial"/>
          <w:lang w:val="en-US"/>
        </w:rPr>
        <w:t xml:space="preserve">In US dollar terms, </w:t>
      </w:r>
      <w:r w:rsidR="00DB4379" w:rsidRPr="000A7C4A">
        <w:rPr>
          <w:rFonts w:ascii="Century Gothic" w:hAnsi="Century Gothic" w:cs="Arial"/>
          <w:lang w:val="en-US"/>
        </w:rPr>
        <w:t xml:space="preserve">public </w:t>
      </w:r>
      <w:r w:rsidRPr="000A7C4A">
        <w:rPr>
          <w:rFonts w:ascii="Century Gothic" w:hAnsi="Century Gothic" w:cs="Arial"/>
          <w:lang w:val="en-US"/>
        </w:rPr>
        <w:t xml:space="preserve">debt amounted to US$23.4 billion (44.7% of GDP), compared to US$21.5 billion as at December 2024. </w:t>
      </w:r>
      <w:r w:rsidR="00DB4379" w:rsidRPr="000A7C4A">
        <w:rPr>
          <w:rFonts w:ascii="Century Gothic" w:hAnsi="Century Gothic" w:cs="Arial"/>
        </w:rPr>
        <w:t xml:space="preserve"> </w:t>
      </w:r>
      <w:r w:rsidRPr="000A7C4A">
        <w:rPr>
          <w:rFonts w:ascii="Century Gothic" w:hAnsi="Century Gothic" w:cs="Arial"/>
          <w:lang w:val="en-US"/>
        </w:rPr>
        <w:t xml:space="preserve">The debt stock </w:t>
      </w:r>
      <w:r w:rsidR="00DB4379" w:rsidRPr="000A7C4A">
        <w:rPr>
          <w:rFonts w:ascii="Century Gothic" w:hAnsi="Century Gothic" w:cs="Arial"/>
          <w:lang w:val="en-US"/>
        </w:rPr>
        <w:t>includes</w:t>
      </w:r>
      <w:r w:rsidRPr="000A7C4A">
        <w:rPr>
          <w:rFonts w:ascii="Century Gothic" w:hAnsi="Century Gothic" w:cs="Arial"/>
          <w:lang w:val="en-US"/>
        </w:rPr>
        <w:t xml:space="preserve"> external debt </w:t>
      </w:r>
      <w:r w:rsidR="00DB4379" w:rsidRPr="000A7C4A">
        <w:rPr>
          <w:rFonts w:ascii="Century Gothic" w:hAnsi="Century Gothic" w:cs="Arial"/>
          <w:lang w:val="en-US"/>
        </w:rPr>
        <w:t xml:space="preserve">of </w:t>
      </w:r>
      <w:r w:rsidRPr="000A7C4A">
        <w:rPr>
          <w:rFonts w:ascii="Century Gothic" w:hAnsi="Century Gothic" w:cs="Arial"/>
          <w:lang w:val="en-US"/>
        </w:rPr>
        <w:t>US$13.6 billion, up from US$13.2 billion as at end December 2024, and domestic debt of US$9.8 billion.</w:t>
      </w:r>
      <w:r w:rsidR="00DB4379" w:rsidRPr="000A7C4A">
        <w:rPr>
          <w:rFonts w:ascii="Century Gothic" w:hAnsi="Century Gothic" w:cs="Arial"/>
          <w:lang w:val="en-US"/>
        </w:rPr>
        <w:t xml:space="preserve"> </w:t>
      </w:r>
      <w:r w:rsidRPr="000A7C4A">
        <w:rPr>
          <w:rFonts w:ascii="Century Gothic" w:hAnsi="Century Gothic" w:cs="Arial"/>
        </w:rPr>
        <w:t xml:space="preserve">Public debt-to-GDP ratio </w:t>
      </w:r>
      <w:r w:rsidRPr="000A7C4A">
        <w:rPr>
          <w:rFonts w:ascii="Century Gothic" w:hAnsi="Century Gothic" w:cs="Arial"/>
          <w:lang w:val="en-US"/>
        </w:rPr>
        <w:t>declined from 72.9% of GDP in 2024 to 4</w:t>
      </w:r>
      <w:r w:rsidR="00DB4379" w:rsidRPr="000A7C4A">
        <w:rPr>
          <w:rFonts w:ascii="Century Gothic" w:hAnsi="Century Gothic" w:cs="Arial"/>
          <w:lang w:val="en-US"/>
        </w:rPr>
        <w:t>4</w:t>
      </w:r>
      <w:r w:rsidRPr="000A7C4A">
        <w:rPr>
          <w:rFonts w:ascii="Century Gothic" w:hAnsi="Century Gothic" w:cs="Arial"/>
          <w:lang w:val="en-US"/>
        </w:rPr>
        <w:t>.</w:t>
      </w:r>
      <w:r w:rsidR="00DB4379" w:rsidRPr="000A7C4A">
        <w:rPr>
          <w:rFonts w:ascii="Century Gothic" w:hAnsi="Century Gothic" w:cs="Arial"/>
          <w:lang w:val="en-US"/>
        </w:rPr>
        <w:t>7</w:t>
      </w:r>
      <w:r w:rsidRPr="000A7C4A">
        <w:rPr>
          <w:rFonts w:ascii="Century Gothic" w:hAnsi="Century Gothic" w:cs="Arial"/>
          <w:lang w:val="en-US"/>
        </w:rPr>
        <w:t>% in 2025 due to GDP rebasing</w:t>
      </w:r>
      <w:r w:rsidR="00094230" w:rsidRPr="000A7C4A">
        <w:rPr>
          <w:rFonts w:ascii="Century Gothic" w:hAnsi="Century Gothic" w:cs="Arial"/>
          <w:lang w:val="en-US"/>
        </w:rPr>
        <w:t xml:space="preserve"> and exchange rate stability</w:t>
      </w:r>
      <w:r w:rsidRPr="000A7C4A">
        <w:rPr>
          <w:rFonts w:ascii="Century Gothic" w:hAnsi="Century Gothic" w:cs="Arial"/>
          <w:lang w:val="en-US"/>
        </w:rPr>
        <w:t xml:space="preserve">. The largest debt drivers are external arrears (US$8.4 billion) and legacy debt (US$5.7 billion), which are worsened by limited fiscal capacity to clear these obligations. Zimbabwe’s public debt remains in distress and unsustainable, which constrains access </w:t>
      </w:r>
      <w:r w:rsidRPr="000A7C4A">
        <w:rPr>
          <w:rFonts w:ascii="Century Gothic" w:hAnsi="Century Gothic" w:cs="Arial"/>
        </w:rPr>
        <w:t>to international finance.</w:t>
      </w:r>
    </w:p>
    <w:p w14:paraId="7D382A94" w14:textId="77777777" w:rsidR="00D862F5" w:rsidRPr="000A7C4A" w:rsidRDefault="00D862F5" w:rsidP="009A1F23">
      <w:pPr>
        <w:pStyle w:val="NoSpacing"/>
        <w:jc w:val="both"/>
        <w:rPr>
          <w:rFonts w:ascii="Century Gothic" w:hAnsi="Century Gothic" w:cs="Arial"/>
          <w:lang w:val="en-US"/>
        </w:rPr>
      </w:pPr>
    </w:p>
    <w:p w14:paraId="3D1D6F11" w14:textId="77777777" w:rsidR="00D862F5" w:rsidRPr="000A7C4A" w:rsidRDefault="00D862F5" w:rsidP="009A1F23">
      <w:pPr>
        <w:pStyle w:val="NoSpacing"/>
        <w:jc w:val="both"/>
        <w:rPr>
          <w:rFonts w:ascii="Century Gothic" w:hAnsi="Century Gothic" w:cs="Arial"/>
        </w:rPr>
      </w:pPr>
      <w:r w:rsidRPr="000A7C4A">
        <w:rPr>
          <w:rFonts w:ascii="Century Gothic" w:hAnsi="Century Gothic" w:cs="Arial"/>
          <w:lang w:val="en-US"/>
        </w:rPr>
        <w:t>As of end September 2025, Zimbabwe’s external debt arrears are estimated at US$7.7 billion, with 63.2% owed to the Bilateral creditors, and 36.8% to multilateral creditors.</w:t>
      </w:r>
    </w:p>
    <w:p w14:paraId="2D3ABB6A" w14:textId="77777777" w:rsidR="00D862F5" w:rsidRPr="000A7C4A" w:rsidRDefault="00D862F5" w:rsidP="009A1F23">
      <w:pPr>
        <w:pStyle w:val="NoSpacing"/>
        <w:jc w:val="both"/>
        <w:rPr>
          <w:rFonts w:ascii="Century Gothic" w:hAnsi="Century Gothic" w:cs="Arial"/>
        </w:rPr>
      </w:pPr>
      <w:r w:rsidRPr="000A7C4A">
        <w:rPr>
          <w:rFonts w:ascii="Century Gothic" w:hAnsi="Century Gothic" w:cs="Arial"/>
          <w:lang w:val="en-US"/>
        </w:rPr>
        <w:t xml:space="preserve">During the period January to September 2025, Government made external debt service payments of US$220.3 million, with additional US$86.6 million expected to be paid before the </w:t>
      </w:r>
      <w:r w:rsidRPr="000A7C4A">
        <w:rPr>
          <w:rFonts w:ascii="Century Gothic" w:hAnsi="Century Gothic" w:cs="Arial"/>
        </w:rPr>
        <w:t>end of 2025.</w:t>
      </w:r>
    </w:p>
    <w:p w14:paraId="72B141C5" w14:textId="77777777" w:rsidR="00D862F5" w:rsidRPr="000A7C4A" w:rsidRDefault="00D862F5" w:rsidP="009A1F23">
      <w:pPr>
        <w:pStyle w:val="NoSpacing"/>
        <w:jc w:val="both"/>
        <w:rPr>
          <w:rFonts w:ascii="Century Gothic" w:hAnsi="Century Gothic" w:cs="Arial"/>
          <w:lang w:val="en-US"/>
        </w:rPr>
      </w:pPr>
    </w:p>
    <w:p w14:paraId="7930F654" w14:textId="135B4F3C" w:rsidR="00D862F5" w:rsidRPr="000A7C4A" w:rsidRDefault="00D862F5" w:rsidP="009A1F23">
      <w:pPr>
        <w:pStyle w:val="NoSpacing"/>
        <w:jc w:val="both"/>
        <w:rPr>
          <w:rFonts w:ascii="Century Gothic" w:hAnsi="Century Gothic" w:cs="Arial"/>
        </w:rPr>
      </w:pPr>
      <w:r w:rsidRPr="000A7C4A">
        <w:rPr>
          <w:rFonts w:ascii="Century Gothic" w:hAnsi="Century Gothic" w:cs="Arial"/>
          <w:lang w:val="en-US"/>
        </w:rPr>
        <w:t xml:space="preserve">Total domestic debt stock increased by 12.6% </w:t>
      </w:r>
      <w:r w:rsidR="00DB4379" w:rsidRPr="000A7C4A">
        <w:rPr>
          <w:rFonts w:ascii="Century Gothic" w:hAnsi="Century Gothic" w:cs="Arial"/>
        </w:rPr>
        <w:t xml:space="preserve">from ZiG217.6 billion as at </w:t>
      </w:r>
      <w:r w:rsidR="00DB4379" w:rsidRPr="000A7C4A">
        <w:rPr>
          <w:rFonts w:ascii="Century Gothic" w:hAnsi="Century Gothic" w:cs="Arial"/>
          <w:lang w:val="en-US"/>
        </w:rPr>
        <w:t xml:space="preserve">end-2024 </w:t>
      </w:r>
      <w:r w:rsidRPr="000A7C4A">
        <w:rPr>
          <w:rFonts w:ascii="Century Gothic" w:hAnsi="Century Gothic" w:cs="Arial"/>
          <w:lang w:val="en-US"/>
        </w:rPr>
        <w:t xml:space="preserve">to ZiG261.1 </w:t>
      </w:r>
      <w:r w:rsidRPr="000A7C4A">
        <w:rPr>
          <w:rFonts w:ascii="Century Gothic" w:hAnsi="Century Gothic" w:cs="Arial"/>
        </w:rPr>
        <w:t>billion as at end-September 2025</w:t>
      </w:r>
      <w:r w:rsidRPr="000A7C4A">
        <w:rPr>
          <w:rFonts w:ascii="Century Gothic" w:hAnsi="Century Gothic" w:cs="Arial"/>
          <w:lang w:val="en-US"/>
        </w:rPr>
        <w:t xml:space="preserve">. </w:t>
      </w:r>
      <w:r w:rsidR="00DB4379" w:rsidRPr="000A7C4A">
        <w:rPr>
          <w:rFonts w:ascii="Century Gothic" w:hAnsi="Century Gothic" w:cs="Arial"/>
        </w:rPr>
        <w:t xml:space="preserve"> </w:t>
      </w:r>
      <w:r w:rsidRPr="000A7C4A">
        <w:rPr>
          <w:rFonts w:ascii="Century Gothic" w:hAnsi="Century Gothic" w:cs="Arial"/>
          <w:lang w:val="en-US"/>
        </w:rPr>
        <w:t>The increase largely reflects the build-up in domestic arrears to service providers estimated at ZiG34.1 billion.</w:t>
      </w:r>
      <w:r w:rsidR="00DB4379" w:rsidRPr="000A7C4A">
        <w:rPr>
          <w:rFonts w:ascii="Century Gothic" w:hAnsi="Century Gothic" w:cs="Arial"/>
          <w:lang w:val="en-US"/>
        </w:rPr>
        <w:t xml:space="preserve"> Interestingly, t</w:t>
      </w:r>
      <w:r w:rsidRPr="000A7C4A">
        <w:rPr>
          <w:rFonts w:ascii="Century Gothic" w:hAnsi="Century Gothic" w:cs="Arial"/>
          <w:lang w:val="en-US"/>
        </w:rPr>
        <w:t xml:space="preserve">he process of validation is currently ongoing. </w:t>
      </w:r>
      <w:r w:rsidR="0095401E" w:rsidRPr="000A7C4A">
        <w:rPr>
          <w:rFonts w:ascii="Century Gothic" w:hAnsi="Century Gothic" w:cs="Arial"/>
          <w:lang w:val="en-US"/>
        </w:rPr>
        <w:t xml:space="preserve">To address this domestic debt build-up, the Budget is </w:t>
      </w:r>
      <w:r w:rsidRPr="000A7C4A">
        <w:rPr>
          <w:rFonts w:ascii="Century Gothic" w:hAnsi="Century Gothic" w:cs="Arial"/>
          <w:lang w:val="en-US"/>
        </w:rPr>
        <w:t>accompanied by a domestic Expenditure Arrears Clearance Strategy, contained in the Public Debt Report.</w:t>
      </w:r>
      <w:r w:rsidR="0095401E" w:rsidRPr="000A7C4A">
        <w:rPr>
          <w:rFonts w:ascii="Century Gothic" w:hAnsi="Century Gothic" w:cs="Arial"/>
          <w:lang w:val="en-US"/>
        </w:rPr>
        <w:t xml:space="preserve"> The proposed way forward leaves domestic suppliers short</w:t>
      </w:r>
      <w:r w:rsidR="00D81721" w:rsidRPr="000A7C4A">
        <w:rPr>
          <w:rFonts w:ascii="Century Gothic" w:hAnsi="Century Gothic" w:cs="Arial"/>
          <w:lang w:val="en-US"/>
        </w:rPr>
        <w:t>;</w:t>
      </w:r>
      <w:r w:rsidR="0095401E" w:rsidRPr="000A7C4A">
        <w:rPr>
          <w:rFonts w:ascii="Century Gothic" w:hAnsi="Century Gothic" w:cs="Arial"/>
          <w:lang w:val="en-US"/>
        </w:rPr>
        <w:t xml:space="preserve"> </w:t>
      </w:r>
      <w:r w:rsidRPr="000A7C4A">
        <w:rPr>
          <w:rFonts w:ascii="Century Gothic" w:hAnsi="Century Gothic" w:cs="Arial"/>
          <w:lang w:val="en-US"/>
        </w:rPr>
        <w:t>“To create a sustainable future domestic debt service profile, Government is working on a restructuring framework, where all maturities for blocked funds and other legacy debts for the period 2025 – 2030 will be rolled over. However, Government reaffirms its commitment to meeting debt service obligations on instruments issued for budget financing, cashflow management purposes and compensation of former farm owners,” Paragraph 163, page 79).</w:t>
      </w:r>
      <w:r w:rsidR="0095401E" w:rsidRPr="000A7C4A">
        <w:rPr>
          <w:rFonts w:ascii="Century Gothic" w:hAnsi="Century Gothic" w:cs="Arial"/>
          <w:lang w:val="en-US"/>
        </w:rPr>
        <w:t xml:space="preserve"> </w:t>
      </w:r>
    </w:p>
    <w:p w14:paraId="088D2E14" w14:textId="77777777" w:rsidR="00D862F5" w:rsidRPr="000A7C4A" w:rsidRDefault="00D862F5" w:rsidP="009A1F23">
      <w:pPr>
        <w:pStyle w:val="NoSpacing"/>
        <w:jc w:val="both"/>
        <w:rPr>
          <w:rFonts w:ascii="Century Gothic" w:hAnsi="Century Gothic" w:cs="Arial"/>
          <w:lang w:val="en-US"/>
        </w:rPr>
      </w:pPr>
    </w:p>
    <w:p w14:paraId="1F237FA4" w14:textId="1C897AD2" w:rsidR="00D862F5" w:rsidRPr="000A7C4A" w:rsidRDefault="00AC66A4" w:rsidP="009A1F23">
      <w:pPr>
        <w:pStyle w:val="NoSpacing"/>
        <w:jc w:val="both"/>
        <w:rPr>
          <w:rFonts w:ascii="Century Gothic" w:hAnsi="Century Gothic" w:cs="Arial"/>
          <w:lang w:val="en-US"/>
        </w:rPr>
      </w:pPr>
      <w:r w:rsidRPr="000A7C4A">
        <w:rPr>
          <w:rFonts w:ascii="Century Gothic" w:hAnsi="Century Gothic" w:cs="Arial"/>
          <w:lang w:val="en-US"/>
        </w:rPr>
        <w:t>3.</w:t>
      </w:r>
      <w:r w:rsidR="0009009E" w:rsidRPr="000A7C4A">
        <w:rPr>
          <w:rFonts w:ascii="Century Gothic" w:hAnsi="Century Gothic" w:cs="Arial"/>
          <w:lang w:val="en-US"/>
        </w:rPr>
        <w:t>6</w:t>
      </w:r>
      <w:r w:rsidRPr="000A7C4A">
        <w:rPr>
          <w:rFonts w:ascii="Century Gothic" w:hAnsi="Century Gothic" w:cs="Arial"/>
          <w:lang w:val="en-US"/>
        </w:rPr>
        <w:tab/>
      </w:r>
      <w:r w:rsidR="00BE6E79" w:rsidRPr="000A7C4A">
        <w:rPr>
          <w:rFonts w:ascii="Century Gothic" w:hAnsi="Century Gothic" w:cs="Arial"/>
          <w:b/>
          <w:bCs/>
          <w:lang w:val="en-US"/>
        </w:rPr>
        <w:t xml:space="preserve">Risks to the </w:t>
      </w:r>
      <w:r w:rsidR="00D81721" w:rsidRPr="000A7C4A">
        <w:rPr>
          <w:rFonts w:ascii="Century Gothic" w:hAnsi="Century Gothic" w:cs="Arial"/>
          <w:b/>
          <w:bCs/>
          <w:lang w:val="en-US"/>
        </w:rPr>
        <w:t xml:space="preserve">2026 </w:t>
      </w:r>
      <w:r w:rsidR="00BE6E79" w:rsidRPr="000A7C4A">
        <w:rPr>
          <w:rFonts w:ascii="Century Gothic" w:hAnsi="Century Gothic" w:cs="Arial"/>
          <w:b/>
          <w:bCs/>
          <w:lang w:val="en-US"/>
        </w:rPr>
        <w:t>Macro-Fiscal Framework</w:t>
      </w:r>
      <w:r w:rsidR="004C0F55" w:rsidRPr="000A7C4A">
        <w:rPr>
          <w:rFonts w:ascii="Century Gothic" w:hAnsi="Century Gothic" w:cs="Arial"/>
          <w:b/>
          <w:bCs/>
          <w:lang w:val="en-US"/>
        </w:rPr>
        <w:t xml:space="preserve"> and Beyond</w:t>
      </w:r>
    </w:p>
    <w:p w14:paraId="02B0762C" w14:textId="77777777" w:rsidR="00D81721" w:rsidRPr="000A7C4A" w:rsidRDefault="00D81721" w:rsidP="009A1F23">
      <w:pPr>
        <w:pStyle w:val="NoSpacing"/>
        <w:jc w:val="both"/>
        <w:rPr>
          <w:rFonts w:ascii="Century Gothic" w:hAnsi="Century Gothic" w:cs="Arial"/>
          <w:lang w:val="en-US"/>
        </w:rPr>
      </w:pPr>
    </w:p>
    <w:p w14:paraId="591B7C0C" w14:textId="135C4958" w:rsidR="00BE6E79" w:rsidRPr="000A7C4A" w:rsidRDefault="0095401E" w:rsidP="009A1F23">
      <w:pPr>
        <w:pStyle w:val="NoSpacing"/>
        <w:jc w:val="both"/>
        <w:rPr>
          <w:rFonts w:ascii="Century Gothic" w:hAnsi="Century Gothic" w:cs="Arial"/>
        </w:rPr>
      </w:pPr>
      <w:r w:rsidRPr="000A7C4A">
        <w:rPr>
          <w:rFonts w:ascii="Century Gothic" w:hAnsi="Century Gothic" w:cs="Arial"/>
          <w:lang w:val="en-US"/>
        </w:rPr>
        <w:t>The identified downside risks attendant to t</w:t>
      </w:r>
      <w:r w:rsidR="00BE6E79" w:rsidRPr="000A7C4A">
        <w:rPr>
          <w:rFonts w:ascii="Century Gothic" w:hAnsi="Century Gothic" w:cs="Arial"/>
          <w:lang w:val="en-US"/>
        </w:rPr>
        <w:t xml:space="preserve">he </w:t>
      </w:r>
      <w:r w:rsidRPr="000A7C4A">
        <w:rPr>
          <w:rFonts w:ascii="Century Gothic" w:hAnsi="Century Gothic" w:cs="Arial"/>
          <w:lang w:val="en-US"/>
        </w:rPr>
        <w:t xml:space="preserve">2026 </w:t>
      </w:r>
      <w:r w:rsidR="00BE6E79" w:rsidRPr="000A7C4A">
        <w:rPr>
          <w:rFonts w:ascii="Century Gothic" w:hAnsi="Century Gothic" w:cs="Arial"/>
          <w:lang w:val="en-US"/>
        </w:rPr>
        <w:t xml:space="preserve">Macro-Fiscal Framework </w:t>
      </w:r>
      <w:r w:rsidRPr="000A7C4A">
        <w:rPr>
          <w:rFonts w:ascii="Century Gothic" w:hAnsi="Century Gothic" w:cs="Arial"/>
          <w:lang w:val="en-US"/>
        </w:rPr>
        <w:t>that could impact on the Budget and strain macroeconomic stability make interesting reading</w:t>
      </w:r>
      <w:r w:rsidR="00BE6E79" w:rsidRPr="000A7C4A">
        <w:rPr>
          <w:rFonts w:ascii="Century Gothic" w:hAnsi="Century Gothic" w:cs="Arial"/>
          <w:lang w:val="en-US"/>
        </w:rPr>
        <w:t>.</w:t>
      </w:r>
      <w:r w:rsidRPr="000A7C4A">
        <w:rPr>
          <w:rFonts w:ascii="Century Gothic" w:hAnsi="Century Gothic" w:cs="Arial"/>
          <w:lang w:val="en-US"/>
        </w:rPr>
        <w:t xml:space="preserve"> What is highlighted as critical in particular is </w:t>
      </w:r>
      <w:r w:rsidR="00BE6E79" w:rsidRPr="000A7C4A">
        <w:rPr>
          <w:rFonts w:ascii="Century Gothic" w:hAnsi="Century Gothic" w:cs="Arial"/>
          <w:lang w:val="en-US"/>
        </w:rPr>
        <w:t xml:space="preserve">MDA adherence to approved allocations </w:t>
      </w:r>
      <w:r w:rsidR="00AC66A4" w:rsidRPr="000A7C4A">
        <w:rPr>
          <w:rFonts w:ascii="Century Gothic" w:hAnsi="Century Gothic" w:cs="Arial"/>
          <w:lang w:val="en-US"/>
        </w:rPr>
        <w:t>to</w:t>
      </w:r>
      <w:r w:rsidRPr="000A7C4A">
        <w:rPr>
          <w:rFonts w:ascii="Century Gothic" w:hAnsi="Century Gothic" w:cs="Arial"/>
          <w:lang w:val="en-US"/>
        </w:rPr>
        <w:t xml:space="preserve"> </w:t>
      </w:r>
      <w:r w:rsidR="00BE6E79" w:rsidRPr="000A7C4A">
        <w:rPr>
          <w:rFonts w:ascii="Century Gothic" w:hAnsi="Century Gothic" w:cs="Arial"/>
          <w:lang w:val="en-US"/>
        </w:rPr>
        <w:t>ensur</w:t>
      </w:r>
      <w:r w:rsidRPr="000A7C4A">
        <w:rPr>
          <w:rFonts w:ascii="Century Gothic" w:hAnsi="Century Gothic" w:cs="Arial"/>
          <w:lang w:val="en-US"/>
        </w:rPr>
        <w:t>e</w:t>
      </w:r>
      <w:r w:rsidR="00BE6E79" w:rsidRPr="000A7C4A">
        <w:rPr>
          <w:rFonts w:ascii="Century Gothic" w:hAnsi="Century Gothic" w:cs="Arial"/>
          <w:lang w:val="en-US"/>
        </w:rPr>
        <w:t xml:space="preserve"> the integrity of the macroeconomic and </w:t>
      </w:r>
      <w:r w:rsidR="00BE6E79" w:rsidRPr="000A7C4A">
        <w:rPr>
          <w:rFonts w:ascii="Century Gothic" w:hAnsi="Century Gothic" w:cs="Arial"/>
        </w:rPr>
        <w:t>budget framework.</w:t>
      </w:r>
      <w:r w:rsidR="00D81721" w:rsidRPr="000A7C4A">
        <w:rPr>
          <w:rFonts w:ascii="Century Gothic" w:hAnsi="Century Gothic" w:cs="Arial"/>
        </w:rPr>
        <w:t xml:space="preserve"> </w:t>
      </w:r>
      <w:r w:rsidR="00BE6E79" w:rsidRPr="000A7C4A">
        <w:rPr>
          <w:rFonts w:ascii="Century Gothic" w:hAnsi="Century Gothic" w:cs="Arial"/>
          <w:lang w:val="en-US"/>
        </w:rPr>
        <w:t>Among the high-profile risks include:</w:t>
      </w:r>
    </w:p>
    <w:p w14:paraId="0E72C35C" w14:textId="3632F50D" w:rsidR="00BE6E79" w:rsidRPr="000A7C4A" w:rsidRDefault="00BE6E79" w:rsidP="009A1F23">
      <w:pPr>
        <w:pStyle w:val="NoSpacing"/>
        <w:numPr>
          <w:ilvl w:val="0"/>
          <w:numId w:val="11"/>
        </w:numPr>
        <w:jc w:val="both"/>
        <w:rPr>
          <w:rFonts w:ascii="Century Gothic" w:hAnsi="Century Gothic" w:cs="Arial"/>
        </w:rPr>
      </w:pPr>
      <w:r w:rsidRPr="000A7C4A">
        <w:rPr>
          <w:rFonts w:ascii="Century Gothic" w:hAnsi="Century Gothic" w:cs="Arial"/>
          <w:lang w:val="en-US"/>
        </w:rPr>
        <w:t>Arrears to debt service providers;</w:t>
      </w:r>
    </w:p>
    <w:p w14:paraId="63BD6295" w14:textId="0BF3D7A5" w:rsidR="00BE6E79" w:rsidRPr="000A7C4A" w:rsidRDefault="00BE6E79" w:rsidP="009A1F23">
      <w:pPr>
        <w:pStyle w:val="NoSpacing"/>
        <w:numPr>
          <w:ilvl w:val="0"/>
          <w:numId w:val="11"/>
        </w:numPr>
        <w:jc w:val="both"/>
        <w:rPr>
          <w:rFonts w:ascii="Century Gothic" w:hAnsi="Century Gothic" w:cs="Arial"/>
        </w:rPr>
      </w:pPr>
      <w:r w:rsidRPr="000A7C4A">
        <w:rPr>
          <w:rFonts w:ascii="Century Gothic" w:hAnsi="Century Gothic" w:cs="Arial"/>
        </w:rPr>
        <w:t>External debt service obligations;</w:t>
      </w:r>
    </w:p>
    <w:p w14:paraId="737BD6E0" w14:textId="77777777" w:rsidR="00BE6E79" w:rsidRPr="000A7C4A" w:rsidRDefault="00BE6E79" w:rsidP="009A1F23">
      <w:pPr>
        <w:pStyle w:val="NoSpacing"/>
        <w:numPr>
          <w:ilvl w:val="0"/>
          <w:numId w:val="11"/>
        </w:numPr>
        <w:jc w:val="both"/>
        <w:rPr>
          <w:rFonts w:ascii="Century Gothic" w:hAnsi="Century Gothic" w:cs="Arial"/>
        </w:rPr>
      </w:pPr>
      <w:r w:rsidRPr="000A7C4A">
        <w:rPr>
          <w:rFonts w:ascii="Century Gothic" w:hAnsi="Century Gothic" w:cs="Arial"/>
          <w:lang w:val="en-US"/>
        </w:rPr>
        <w:t xml:space="preserve">Climate-induced shocks (including possible drought and </w:t>
      </w:r>
      <w:r w:rsidRPr="000A7C4A">
        <w:rPr>
          <w:rFonts w:ascii="Century Gothic" w:hAnsi="Century Gothic" w:cs="Arial"/>
        </w:rPr>
        <w:t>floods); and</w:t>
      </w:r>
    </w:p>
    <w:p w14:paraId="70EF4D07" w14:textId="77777777" w:rsidR="00BE6E79" w:rsidRPr="000A7C4A" w:rsidRDefault="00BE6E79" w:rsidP="009A1F23">
      <w:pPr>
        <w:pStyle w:val="NoSpacing"/>
        <w:numPr>
          <w:ilvl w:val="0"/>
          <w:numId w:val="11"/>
        </w:numPr>
        <w:jc w:val="both"/>
        <w:rPr>
          <w:rFonts w:ascii="Century Gothic" w:hAnsi="Century Gothic" w:cs="Arial"/>
        </w:rPr>
      </w:pPr>
      <w:r w:rsidRPr="000A7C4A">
        <w:rPr>
          <w:rFonts w:ascii="Century Gothic" w:hAnsi="Century Gothic" w:cs="Arial"/>
          <w:lang w:val="en-US"/>
        </w:rPr>
        <w:t xml:space="preserve">Unanticipated global economic shocks and geopolitical </w:t>
      </w:r>
      <w:r w:rsidRPr="000A7C4A">
        <w:rPr>
          <w:rFonts w:ascii="Century Gothic" w:hAnsi="Century Gothic" w:cs="Arial"/>
        </w:rPr>
        <w:t>tensions.</w:t>
      </w:r>
    </w:p>
    <w:p w14:paraId="1757042D" w14:textId="77777777" w:rsidR="00BE6E79" w:rsidRPr="000A7C4A" w:rsidRDefault="00BE6E79" w:rsidP="009A1F23">
      <w:pPr>
        <w:pStyle w:val="NoSpacing"/>
        <w:jc w:val="both"/>
        <w:rPr>
          <w:rFonts w:ascii="Century Gothic" w:hAnsi="Century Gothic" w:cs="Arial"/>
          <w:lang w:val="en-US"/>
        </w:rPr>
      </w:pPr>
    </w:p>
    <w:p w14:paraId="7479DE32" w14:textId="77777777" w:rsidR="004C0F55" w:rsidRPr="000A7C4A" w:rsidRDefault="00D81721" w:rsidP="00D91A8A">
      <w:pPr>
        <w:pStyle w:val="NoSpacing"/>
        <w:jc w:val="both"/>
        <w:rPr>
          <w:rFonts w:ascii="Century Gothic" w:hAnsi="Century Gothic" w:cs="Arial"/>
          <w:lang w:val="en-US"/>
        </w:rPr>
      </w:pPr>
      <w:r w:rsidRPr="000A7C4A">
        <w:rPr>
          <w:rFonts w:ascii="Century Gothic" w:hAnsi="Century Gothic" w:cs="Arial"/>
          <w:lang w:val="en-US"/>
        </w:rPr>
        <w:t xml:space="preserve">With respect to domestic debt, the Budget Statement concedes that; </w:t>
      </w:r>
      <w:r w:rsidR="00BE6E79" w:rsidRPr="000A7C4A">
        <w:rPr>
          <w:rFonts w:ascii="Century Gothic" w:hAnsi="Century Gothic" w:cs="Arial"/>
          <w:lang w:val="en-US"/>
        </w:rPr>
        <w:t>“The high level of arrears to service providers and debt servicing obligations remain major constraints with possible adverse implications on the macroeconomic framework,” (paragraph 178, page 86).</w:t>
      </w:r>
      <w:r w:rsidR="009A1F23" w:rsidRPr="000A7C4A">
        <w:rPr>
          <w:rFonts w:ascii="Century Gothic" w:hAnsi="Century Gothic" w:cs="Arial"/>
        </w:rPr>
        <w:t xml:space="preserve"> </w:t>
      </w:r>
      <w:r w:rsidRPr="000A7C4A">
        <w:rPr>
          <w:rFonts w:ascii="Century Gothic" w:hAnsi="Century Gothic" w:cs="Arial"/>
          <w:lang w:val="en-US"/>
        </w:rPr>
        <w:t xml:space="preserve">In addition, it acknowledges that; </w:t>
      </w:r>
      <w:r w:rsidR="00BE6E79" w:rsidRPr="000A7C4A">
        <w:rPr>
          <w:rFonts w:ascii="Century Gothic" w:hAnsi="Century Gothic" w:cs="Arial"/>
          <w:lang w:val="en-US"/>
        </w:rPr>
        <w:t xml:space="preserve">“Further, the possible </w:t>
      </w:r>
      <w:r w:rsidR="00BE6E79" w:rsidRPr="000A7C4A">
        <w:rPr>
          <w:rFonts w:ascii="Century Gothic" w:hAnsi="Century Gothic" w:cs="Arial"/>
          <w:lang w:val="en-US"/>
        </w:rPr>
        <w:lastRenderedPageBreak/>
        <w:t>actualisation of contingent liabilities in respect of State-Owned Enterprises and Public-Private Partnerships presents additional fiscal risks,” (paragraph 180:86).</w:t>
      </w:r>
      <w:r w:rsidRPr="000A7C4A">
        <w:rPr>
          <w:rFonts w:ascii="Century Gothic" w:hAnsi="Century Gothic" w:cs="Arial"/>
          <w:lang w:val="en-US"/>
        </w:rPr>
        <w:t xml:space="preserve"> </w:t>
      </w:r>
      <w:r w:rsidR="00BB01E8" w:rsidRPr="000A7C4A">
        <w:rPr>
          <w:rFonts w:ascii="Century Gothic" w:hAnsi="Century Gothic" w:cs="Arial"/>
          <w:lang w:val="en-US"/>
        </w:rPr>
        <w:t xml:space="preserve">More fundamentally, </w:t>
      </w:r>
      <w:r w:rsidR="00BE6E79" w:rsidRPr="000A7C4A">
        <w:rPr>
          <w:rFonts w:ascii="Century Gothic" w:hAnsi="Century Gothic" w:cs="Arial"/>
          <w:lang w:val="en-US"/>
        </w:rPr>
        <w:t>“For the success of the 2026 National Budget, it is mandatory that all MDAs remain within their approved budgets. Further, it is important to prioritise fiscal and monetary policy coordination to ensure the integrity of the Budget,” Paragraph 214, page 99).</w:t>
      </w:r>
      <w:r w:rsidR="00D91A8A" w:rsidRPr="000A7C4A">
        <w:rPr>
          <w:rFonts w:ascii="Century Gothic" w:hAnsi="Century Gothic" w:cs="Arial"/>
          <w:lang w:val="en-US"/>
        </w:rPr>
        <w:t xml:space="preserve"> </w:t>
      </w:r>
    </w:p>
    <w:p w14:paraId="0AF59A8D" w14:textId="77777777" w:rsidR="004C0F55" w:rsidRPr="000A7C4A" w:rsidRDefault="004C0F55" w:rsidP="00D91A8A">
      <w:pPr>
        <w:pStyle w:val="NoSpacing"/>
        <w:jc w:val="both"/>
        <w:rPr>
          <w:rFonts w:ascii="Century Gothic" w:hAnsi="Century Gothic" w:cs="Arial"/>
          <w:lang w:val="en-US"/>
        </w:rPr>
      </w:pPr>
    </w:p>
    <w:p w14:paraId="2006D9E5" w14:textId="024E2532" w:rsidR="00D91A8A" w:rsidRPr="000A7C4A" w:rsidRDefault="004C0F55" w:rsidP="00D91A8A">
      <w:pPr>
        <w:pStyle w:val="NoSpacing"/>
        <w:jc w:val="both"/>
        <w:rPr>
          <w:rFonts w:ascii="Century Gothic" w:hAnsi="Century Gothic" w:cs="Arial"/>
          <w:lang w:val="en-US"/>
        </w:rPr>
      </w:pPr>
      <w:r w:rsidRPr="000A7C4A">
        <w:rPr>
          <w:rFonts w:ascii="Century Gothic" w:hAnsi="Century Gothic" w:cs="Arial"/>
          <w:lang w:val="en-US"/>
        </w:rPr>
        <w:t xml:space="preserve">Importantly, as highlighted in the Zimbabwe IMF’s 2025 Article IV Consultation Report released on the 2nd of October, challenges remain. These include “…fiscal financing pressures associated with very limited access to official external financing as well as the accumulation of domestic arrears, low monetary policy credibility, a highly dollarized monetary system, low reserve buffers, a persistent gap between the official and parallel exchange rates, and economic governance vulnerabilities.” </w:t>
      </w:r>
      <w:r w:rsidR="00D91A8A" w:rsidRPr="000A7C4A">
        <w:rPr>
          <w:rFonts w:ascii="Century Gothic" w:hAnsi="Century Gothic" w:cs="Arial"/>
          <w:lang w:val="en-US"/>
        </w:rPr>
        <w:t>As the IMF Article IV Report of October 2, 2025 noted, significant downside risks persist, notably from a return to monetary financing. The relative macroeconomic stability is therefore questionable as “…fiscal financing pressures have intensified despite higher revenues, as net external financing turned negative and spending increased,” (IMF 2025 Article IV Report, page 1).</w:t>
      </w:r>
      <w:r w:rsidRPr="000A7C4A">
        <w:rPr>
          <w:rFonts w:ascii="Century Gothic" w:hAnsi="Century Gothic" w:cs="Arial"/>
          <w:lang w:val="en-US"/>
        </w:rPr>
        <w:t xml:space="preserve"> </w:t>
      </w:r>
    </w:p>
    <w:p w14:paraId="18555E21" w14:textId="77777777" w:rsidR="00BE6E79" w:rsidRPr="000A7C4A" w:rsidRDefault="00BE6E79" w:rsidP="009A1F23">
      <w:pPr>
        <w:pStyle w:val="NoSpacing"/>
        <w:jc w:val="both"/>
        <w:rPr>
          <w:rFonts w:ascii="Century Gothic" w:hAnsi="Century Gothic" w:cs="Arial"/>
          <w:lang w:val="en-US"/>
        </w:rPr>
      </w:pPr>
    </w:p>
    <w:p w14:paraId="54936E08" w14:textId="65E9E8DF" w:rsidR="00BE6E79" w:rsidRPr="000A7C4A" w:rsidRDefault="00AC66A4" w:rsidP="00AC66A4">
      <w:pPr>
        <w:pStyle w:val="NoSpacing"/>
        <w:ind w:left="720" w:hanging="720"/>
        <w:jc w:val="both"/>
        <w:rPr>
          <w:rFonts w:ascii="Century Gothic" w:hAnsi="Century Gothic" w:cs="Arial"/>
          <w:lang w:val="en-US"/>
        </w:rPr>
      </w:pPr>
      <w:r w:rsidRPr="000A7C4A">
        <w:rPr>
          <w:rFonts w:ascii="Century Gothic" w:hAnsi="Century Gothic" w:cs="Arial"/>
          <w:lang w:val="en-US"/>
        </w:rPr>
        <w:t>3.</w:t>
      </w:r>
      <w:r w:rsidR="0009009E" w:rsidRPr="000A7C4A">
        <w:rPr>
          <w:rFonts w:ascii="Century Gothic" w:hAnsi="Century Gothic" w:cs="Arial"/>
          <w:lang w:val="en-US"/>
        </w:rPr>
        <w:t>7</w:t>
      </w:r>
      <w:r w:rsidRPr="000A7C4A">
        <w:rPr>
          <w:rFonts w:ascii="Century Gothic" w:hAnsi="Century Gothic" w:cs="Arial"/>
          <w:lang w:val="en-US"/>
        </w:rPr>
        <w:tab/>
      </w:r>
      <w:r w:rsidR="00BE6E79" w:rsidRPr="000A7C4A">
        <w:rPr>
          <w:rFonts w:ascii="Century Gothic" w:hAnsi="Century Gothic" w:cs="Arial"/>
          <w:b/>
          <w:bCs/>
          <w:i/>
          <w:iCs/>
          <w:lang w:val="en-US"/>
        </w:rPr>
        <w:t>Expenditure Arrears to Service Providers</w:t>
      </w:r>
      <w:r w:rsidR="00DF6E26" w:rsidRPr="000A7C4A">
        <w:rPr>
          <w:rFonts w:ascii="Century Gothic" w:hAnsi="Century Gothic" w:cs="Arial"/>
          <w:b/>
          <w:bCs/>
          <w:i/>
          <w:iCs/>
          <w:lang w:val="en-US"/>
        </w:rPr>
        <w:t xml:space="preserve"> Constitutes a Major Challenge. In addition, the contraction of the domestic debt presents major challenges</w:t>
      </w:r>
      <w:r w:rsidR="009A1F23" w:rsidRPr="000A7C4A">
        <w:rPr>
          <w:rFonts w:ascii="Century Gothic" w:hAnsi="Century Gothic" w:cs="Arial"/>
          <w:b/>
          <w:bCs/>
          <w:i/>
          <w:iCs/>
          <w:lang w:val="en-US"/>
        </w:rPr>
        <w:t xml:space="preserve"> in its procurement, suggesting the required processes were not followed</w:t>
      </w:r>
    </w:p>
    <w:p w14:paraId="28A93E7E" w14:textId="77777777" w:rsidR="00DF6E26" w:rsidRPr="000A7C4A" w:rsidRDefault="00DF6E26" w:rsidP="009A1F23">
      <w:pPr>
        <w:pStyle w:val="NoSpacing"/>
        <w:jc w:val="both"/>
        <w:rPr>
          <w:rFonts w:ascii="Century Gothic" w:hAnsi="Century Gothic" w:cs="Arial"/>
          <w:lang w:val="en-US"/>
        </w:rPr>
      </w:pPr>
    </w:p>
    <w:p w14:paraId="3C8266C4" w14:textId="734D632D" w:rsidR="00BE6E79" w:rsidRPr="000A7C4A" w:rsidRDefault="00BE6E79" w:rsidP="009A1F23">
      <w:pPr>
        <w:pStyle w:val="NoSpacing"/>
        <w:jc w:val="both"/>
        <w:rPr>
          <w:rFonts w:ascii="Century Gothic" w:hAnsi="Century Gothic" w:cs="Arial"/>
        </w:rPr>
      </w:pPr>
      <w:r w:rsidRPr="000A7C4A">
        <w:rPr>
          <w:rFonts w:ascii="Century Gothic" w:hAnsi="Century Gothic" w:cs="Arial"/>
          <w:lang w:val="en-US"/>
        </w:rPr>
        <w:t>As at end-2024, the unvalidated total expenditure arrears are estimated at US$1.7 billion.</w:t>
      </w:r>
      <w:r w:rsidR="00DF6E26" w:rsidRPr="000A7C4A">
        <w:rPr>
          <w:rFonts w:ascii="Century Gothic" w:hAnsi="Century Gothic" w:cs="Arial"/>
          <w:lang w:val="en-US"/>
        </w:rPr>
        <w:t xml:space="preserve"> The challenge this presents is well articulated as follows: </w:t>
      </w:r>
      <w:r w:rsidRPr="000A7C4A">
        <w:rPr>
          <w:rFonts w:ascii="Century Gothic" w:hAnsi="Century Gothic" w:cs="Arial"/>
          <w:lang w:val="en-US"/>
        </w:rPr>
        <w:t xml:space="preserve">“The accumulation of expenditure arrears to the providers of goods and services has emerged as a Public Financial Management (PFM) risk for the fiscus, undermining budget </w:t>
      </w:r>
      <w:r w:rsidRPr="000A7C4A">
        <w:rPr>
          <w:rFonts w:ascii="Century Gothic" w:hAnsi="Century Gothic" w:cs="Arial"/>
        </w:rPr>
        <w:t xml:space="preserve">credibility, effective budget implementation, disrupting private </w:t>
      </w:r>
      <w:r w:rsidRPr="000A7C4A">
        <w:rPr>
          <w:rFonts w:ascii="Century Gothic" w:hAnsi="Century Gothic" w:cs="Arial"/>
          <w:lang w:val="en-US"/>
        </w:rPr>
        <w:t>sector operations and straining the banking sector.</w:t>
      </w:r>
      <w:r w:rsidR="009A1F23" w:rsidRPr="000A7C4A">
        <w:rPr>
          <w:rFonts w:ascii="Century Gothic" w:hAnsi="Century Gothic" w:cs="Arial"/>
          <w:lang w:val="en-US"/>
        </w:rPr>
        <w:t xml:space="preserve"> </w:t>
      </w:r>
    </w:p>
    <w:p w14:paraId="22A525CF" w14:textId="77777777" w:rsidR="00AC66A4" w:rsidRPr="000A7C4A" w:rsidRDefault="00AC66A4" w:rsidP="009A1F23">
      <w:pPr>
        <w:pStyle w:val="NoSpacing"/>
        <w:jc w:val="both"/>
        <w:rPr>
          <w:rFonts w:ascii="Century Gothic" w:hAnsi="Century Gothic" w:cs="Arial"/>
          <w:lang w:val="en-US"/>
        </w:rPr>
      </w:pPr>
    </w:p>
    <w:p w14:paraId="22DC89CD" w14:textId="4F5FA0B5" w:rsidR="006E49E5" w:rsidRPr="000A7C4A" w:rsidRDefault="00BE6E79" w:rsidP="009A1F23">
      <w:pPr>
        <w:pStyle w:val="NoSpacing"/>
        <w:jc w:val="both"/>
        <w:rPr>
          <w:rFonts w:ascii="Century Gothic" w:hAnsi="Century Gothic" w:cs="Arial"/>
        </w:rPr>
      </w:pPr>
      <w:r w:rsidRPr="000A7C4A">
        <w:rPr>
          <w:rFonts w:ascii="Century Gothic" w:hAnsi="Century Gothic" w:cs="Arial"/>
          <w:lang w:val="en-US"/>
        </w:rPr>
        <w:t xml:space="preserve">The build-up of domestic expenditure arrears by MDAs over the years reflects both structural weaknesses of the PFM systems </w:t>
      </w:r>
      <w:r w:rsidRPr="000A7C4A">
        <w:rPr>
          <w:rFonts w:ascii="Century Gothic" w:hAnsi="Century Gothic" w:cs="Arial"/>
        </w:rPr>
        <w:t>(particularly over contracting and off-budget expenditures) and fiscal shocks affecting the economy. External shocks such as commodity-price volatility, reduction in Official Development Assistance (ODA), drought and pandemic-related disruptions exert pressure on public finances, resulting in delays in payments to contractors, service providers and statutory funds,” (paragraphs 229-230, pages 105-106).</w:t>
      </w:r>
      <w:r w:rsidR="00DF6E26" w:rsidRPr="000A7C4A">
        <w:rPr>
          <w:rFonts w:ascii="Century Gothic" w:hAnsi="Century Gothic" w:cs="Arial"/>
        </w:rPr>
        <w:t xml:space="preserve"> </w:t>
      </w:r>
    </w:p>
    <w:p w14:paraId="57DFD580" w14:textId="77777777" w:rsidR="006E49E5" w:rsidRPr="000A7C4A" w:rsidRDefault="006E49E5" w:rsidP="009A1F23">
      <w:pPr>
        <w:pStyle w:val="NoSpacing"/>
        <w:jc w:val="both"/>
        <w:rPr>
          <w:rFonts w:ascii="Century Gothic" w:hAnsi="Century Gothic" w:cs="Arial"/>
        </w:rPr>
      </w:pPr>
    </w:p>
    <w:p w14:paraId="7939F4F1" w14:textId="456CE079" w:rsidR="00BE6E79" w:rsidRPr="000A7C4A" w:rsidRDefault="006E49E5" w:rsidP="009A1F23">
      <w:pPr>
        <w:pStyle w:val="NoSpacing"/>
        <w:jc w:val="both"/>
        <w:rPr>
          <w:rFonts w:ascii="Century Gothic" w:hAnsi="Century Gothic" w:cs="Arial"/>
        </w:rPr>
      </w:pPr>
      <w:r w:rsidRPr="000A7C4A">
        <w:rPr>
          <w:rFonts w:ascii="Century Gothic" w:hAnsi="Century Gothic" w:cs="Arial"/>
        </w:rPr>
        <w:t>It appears</w:t>
      </w:r>
      <w:r w:rsidR="00DF6E26" w:rsidRPr="000A7C4A">
        <w:rPr>
          <w:rFonts w:ascii="Century Gothic" w:hAnsi="Century Gothic" w:cs="Arial"/>
        </w:rPr>
        <w:t xml:space="preserve"> the contraction of such domestic debt by MDAs is not transparent, and accountable. As the Budget Statement notes, </w:t>
      </w:r>
      <w:r w:rsidR="00BE6E79" w:rsidRPr="000A7C4A">
        <w:rPr>
          <w:rFonts w:ascii="Century Gothic" w:hAnsi="Century Gothic" w:cs="Arial"/>
          <w:lang w:val="en-US"/>
        </w:rPr>
        <w:t>“To address the expenditure arrears, Treasury will undertake a comprehensive audit process to verify the arrears,” (Paragraph 232, page 107).</w:t>
      </w:r>
      <w:r w:rsidR="00DF6E26" w:rsidRPr="000A7C4A">
        <w:rPr>
          <w:rFonts w:ascii="Century Gothic" w:hAnsi="Century Gothic" w:cs="Arial"/>
          <w:lang w:val="en-US"/>
        </w:rPr>
        <w:t xml:space="preserve"> </w:t>
      </w:r>
      <w:r w:rsidRPr="000A7C4A">
        <w:rPr>
          <w:rFonts w:ascii="Century Gothic" w:hAnsi="Century Gothic" w:cs="Arial"/>
          <w:lang w:val="en-US"/>
        </w:rPr>
        <w:t xml:space="preserve">This sounds like </w:t>
      </w:r>
      <w:r w:rsidRPr="000A7C4A">
        <w:rPr>
          <w:rFonts w:ascii="Century Gothic" w:hAnsi="Century Gothic" w:cs="Arial"/>
          <w:b/>
          <w:bCs/>
          <w:lang w:val="en-US"/>
        </w:rPr>
        <w:t>ex post rationalization.</w:t>
      </w:r>
      <w:r w:rsidRPr="000A7C4A">
        <w:rPr>
          <w:rFonts w:ascii="Century Gothic" w:hAnsi="Century Gothic" w:cs="Arial"/>
          <w:lang w:val="en-US"/>
        </w:rPr>
        <w:t xml:space="preserve"> </w:t>
      </w:r>
      <w:r w:rsidR="00DF6E26" w:rsidRPr="000A7C4A">
        <w:rPr>
          <w:rFonts w:ascii="Century Gothic" w:hAnsi="Century Gothic" w:cs="Arial"/>
          <w:lang w:val="en-US"/>
        </w:rPr>
        <w:t>As stated above, the</w:t>
      </w:r>
      <w:r w:rsidR="00BE6E79" w:rsidRPr="000A7C4A">
        <w:rPr>
          <w:rFonts w:ascii="Century Gothic" w:hAnsi="Century Gothic" w:cs="Arial"/>
          <w:lang w:val="en-US"/>
        </w:rPr>
        <w:t xml:space="preserve"> validated expenditure arrears will be cleared through budget allocations over a five-year period, from 2026 to 2030.</w:t>
      </w:r>
      <w:r w:rsidR="00DF6E26" w:rsidRPr="000A7C4A">
        <w:rPr>
          <w:rFonts w:ascii="Century Gothic" w:hAnsi="Century Gothic" w:cs="Arial"/>
        </w:rPr>
        <w:t xml:space="preserve"> </w:t>
      </w:r>
      <w:r w:rsidR="00BE6E79" w:rsidRPr="000A7C4A">
        <w:rPr>
          <w:rFonts w:ascii="Century Gothic" w:hAnsi="Century Gothic" w:cs="Arial"/>
          <w:lang w:val="en-US"/>
        </w:rPr>
        <w:t xml:space="preserve">To curb accumulation of new expenditure arrears, </w:t>
      </w:r>
      <w:r w:rsidRPr="000A7C4A">
        <w:rPr>
          <w:rFonts w:ascii="Century Gothic" w:hAnsi="Century Gothic" w:cs="Arial"/>
          <w:lang w:val="en-US"/>
        </w:rPr>
        <w:t xml:space="preserve">the Minister of Finance, Economic Development and Investment Promotion indicated that </w:t>
      </w:r>
      <w:r w:rsidR="00BE6E79" w:rsidRPr="000A7C4A">
        <w:rPr>
          <w:rFonts w:ascii="Century Gothic" w:hAnsi="Century Gothic" w:cs="Arial"/>
          <w:lang w:val="en-US"/>
        </w:rPr>
        <w:t xml:space="preserve">Government </w:t>
      </w:r>
      <w:r w:rsidR="00AC66A4" w:rsidRPr="000A7C4A">
        <w:rPr>
          <w:rFonts w:ascii="Century Gothic" w:hAnsi="Century Gothic" w:cs="Arial"/>
          <w:lang w:val="en-US"/>
        </w:rPr>
        <w:t>would</w:t>
      </w:r>
      <w:r w:rsidR="00BE6E79" w:rsidRPr="000A7C4A">
        <w:rPr>
          <w:rFonts w:ascii="Century Gothic" w:hAnsi="Century Gothic" w:cs="Arial"/>
          <w:lang w:val="en-US"/>
        </w:rPr>
        <w:t xml:space="preserve"> </w:t>
      </w:r>
      <w:r w:rsidR="00AC66A4" w:rsidRPr="000A7C4A">
        <w:rPr>
          <w:rFonts w:ascii="Century Gothic" w:hAnsi="Century Gothic" w:cs="Arial"/>
          <w:lang w:val="en-US"/>
        </w:rPr>
        <w:t>utilize</w:t>
      </w:r>
      <w:r w:rsidR="00BE6E79" w:rsidRPr="000A7C4A">
        <w:rPr>
          <w:rFonts w:ascii="Century Gothic" w:hAnsi="Century Gothic" w:cs="Arial"/>
          <w:lang w:val="en-US"/>
        </w:rPr>
        <w:t xml:space="preserve"> the existing legal framework by enforcing implementation of all relevant legal and regulatory provisions enshrined in the Constitution, PFM Act, Statutory Instruments </w:t>
      </w:r>
      <w:r w:rsidR="00BE6E79" w:rsidRPr="000A7C4A">
        <w:rPr>
          <w:rFonts w:ascii="Century Gothic" w:hAnsi="Century Gothic" w:cs="Arial"/>
        </w:rPr>
        <w:t>and Treasury Call Circulars.</w:t>
      </w:r>
      <w:r w:rsidRPr="000A7C4A">
        <w:rPr>
          <w:rFonts w:ascii="Century Gothic" w:hAnsi="Century Gothic" w:cs="Arial"/>
        </w:rPr>
        <w:t xml:space="preserve"> What is intriguing is that all</w:t>
      </w:r>
      <w:r w:rsidR="00BE6E79" w:rsidRPr="000A7C4A">
        <w:rPr>
          <w:rFonts w:ascii="Century Gothic" w:hAnsi="Century Gothic" w:cs="Arial"/>
          <w:lang w:val="en-US"/>
        </w:rPr>
        <w:t xml:space="preserve"> MDAs are mandated to seek Treasury concurrence for all contracts valued at US$2 million and above. In addition, all private contractors are </w:t>
      </w:r>
      <w:r w:rsidR="00BE6E79" w:rsidRPr="000A7C4A">
        <w:rPr>
          <w:rFonts w:ascii="Century Gothic" w:hAnsi="Century Gothic" w:cs="Arial"/>
          <w:lang w:val="en-US"/>
        </w:rPr>
        <w:lastRenderedPageBreak/>
        <w:t xml:space="preserve">required to verify that (MDAs) have obtained Treasury concurrence before signing contracts and supplying the </w:t>
      </w:r>
      <w:r w:rsidR="00BE6E79" w:rsidRPr="000A7C4A">
        <w:rPr>
          <w:rFonts w:ascii="Century Gothic" w:hAnsi="Century Gothic" w:cs="Arial"/>
        </w:rPr>
        <w:t>goods and services</w:t>
      </w:r>
      <w:r w:rsidR="00A42D36" w:rsidRPr="000A7C4A">
        <w:rPr>
          <w:rFonts w:ascii="Century Gothic" w:hAnsi="Century Gothic" w:cs="Arial"/>
        </w:rPr>
        <w:t>.</w:t>
      </w:r>
    </w:p>
    <w:p w14:paraId="3B246604" w14:textId="0A15BBE1" w:rsidR="00BE6E79" w:rsidRPr="000A7C4A" w:rsidRDefault="00BE6E79" w:rsidP="009A1F23">
      <w:pPr>
        <w:pStyle w:val="NoSpacing"/>
        <w:jc w:val="both"/>
        <w:rPr>
          <w:rFonts w:ascii="Century Gothic" w:hAnsi="Century Gothic" w:cs="Arial"/>
        </w:rPr>
      </w:pPr>
    </w:p>
    <w:p w14:paraId="5F04FF8A" w14:textId="0FD88347" w:rsidR="00BE6E79" w:rsidRPr="000A7C4A" w:rsidRDefault="005C2B94" w:rsidP="009A1F23">
      <w:pPr>
        <w:pStyle w:val="NoSpacing"/>
        <w:jc w:val="both"/>
        <w:rPr>
          <w:rFonts w:ascii="Century Gothic" w:hAnsi="Century Gothic" w:cs="Arial"/>
        </w:rPr>
      </w:pPr>
      <w:r w:rsidRPr="000A7C4A">
        <w:rPr>
          <w:rFonts w:ascii="Century Gothic" w:hAnsi="Century Gothic" w:cs="Arial"/>
        </w:rPr>
        <w:t>3.8</w:t>
      </w:r>
      <w:r w:rsidRPr="000A7C4A">
        <w:rPr>
          <w:rFonts w:ascii="Century Gothic" w:hAnsi="Century Gothic" w:cs="Arial"/>
        </w:rPr>
        <w:tab/>
      </w:r>
      <w:r w:rsidR="00BE6E79" w:rsidRPr="000A7C4A">
        <w:rPr>
          <w:rFonts w:ascii="Century Gothic" w:hAnsi="Century Gothic" w:cs="Arial"/>
          <w:b/>
          <w:bCs/>
        </w:rPr>
        <w:t>Transition to Mono-Currency</w:t>
      </w:r>
    </w:p>
    <w:p w14:paraId="33018A81" w14:textId="77777777" w:rsidR="00BE6E79" w:rsidRPr="000A7C4A" w:rsidRDefault="00BE6E79" w:rsidP="009A1F23">
      <w:pPr>
        <w:pStyle w:val="NoSpacing"/>
        <w:jc w:val="both"/>
        <w:rPr>
          <w:rFonts w:ascii="Century Gothic" w:hAnsi="Century Gothic" w:cs="Arial"/>
          <w:lang w:val="en-US"/>
        </w:rPr>
      </w:pPr>
    </w:p>
    <w:p w14:paraId="622817E5" w14:textId="60AF6C9C" w:rsidR="00BE6E79" w:rsidRPr="000A7C4A" w:rsidRDefault="00BE6E79" w:rsidP="009A1F23">
      <w:pPr>
        <w:pStyle w:val="NoSpacing"/>
        <w:jc w:val="both"/>
        <w:rPr>
          <w:rFonts w:ascii="Century Gothic" w:hAnsi="Century Gothic" w:cs="Arial"/>
        </w:rPr>
      </w:pPr>
      <w:r w:rsidRPr="000A7C4A">
        <w:rPr>
          <w:rFonts w:ascii="Century Gothic" w:hAnsi="Century Gothic" w:cs="Arial"/>
          <w:lang w:val="en-US"/>
        </w:rPr>
        <w:t xml:space="preserve">The transition to mono-currency entails the exclusive use of the local currency, ZiG, in the payments and settlement of domestic goods and services, with foreign currency primarily reserved for external payments of goods </w:t>
      </w:r>
      <w:r w:rsidRPr="000A7C4A">
        <w:rPr>
          <w:rFonts w:ascii="Century Gothic" w:hAnsi="Century Gothic" w:cs="Arial"/>
        </w:rPr>
        <w:t>and services.</w:t>
      </w:r>
      <w:r w:rsidR="005C2B94" w:rsidRPr="000A7C4A">
        <w:rPr>
          <w:rFonts w:ascii="Century Gothic" w:hAnsi="Century Gothic" w:cs="Arial"/>
        </w:rPr>
        <w:t xml:space="preserve"> The Budget Statement says that it will be a gradual</w:t>
      </w:r>
      <w:r w:rsidRPr="000A7C4A">
        <w:rPr>
          <w:rFonts w:ascii="Century Gothic" w:hAnsi="Century Gothic" w:cs="Arial"/>
          <w:lang w:val="en-US"/>
        </w:rPr>
        <w:t xml:space="preserve"> and market-led transition to mono-currency and will only happen when Government has met the necessary Conditions Precedent (CPs) for mono-currency.</w:t>
      </w:r>
    </w:p>
    <w:p w14:paraId="37299312" w14:textId="77777777" w:rsidR="00BE6E79" w:rsidRPr="000A7C4A" w:rsidRDefault="00BE6E79" w:rsidP="009A1F23">
      <w:pPr>
        <w:pStyle w:val="NoSpacing"/>
        <w:jc w:val="both"/>
        <w:rPr>
          <w:rFonts w:ascii="Century Gothic" w:hAnsi="Century Gothic" w:cs="Arial"/>
        </w:rPr>
      </w:pPr>
      <w:r w:rsidRPr="000A7C4A">
        <w:rPr>
          <w:rFonts w:ascii="Century Gothic" w:hAnsi="Century Gothic" w:cs="Arial"/>
        </w:rPr>
        <w:t>These CPs include:</w:t>
      </w:r>
    </w:p>
    <w:p w14:paraId="50FBDC13" w14:textId="77777777" w:rsidR="00BE6E79" w:rsidRPr="000A7C4A" w:rsidRDefault="00BE6E79" w:rsidP="009A1F23">
      <w:pPr>
        <w:pStyle w:val="NoSpacing"/>
        <w:numPr>
          <w:ilvl w:val="0"/>
          <w:numId w:val="5"/>
        </w:numPr>
        <w:jc w:val="both"/>
        <w:rPr>
          <w:rFonts w:ascii="Century Gothic" w:hAnsi="Century Gothic" w:cs="Arial"/>
        </w:rPr>
      </w:pPr>
      <w:r w:rsidRPr="000A7C4A">
        <w:rPr>
          <w:rFonts w:ascii="Century Gothic" w:hAnsi="Century Gothic" w:cs="Arial"/>
          <w:lang w:val="en-US"/>
        </w:rPr>
        <w:t xml:space="preserve">Durable macroeconomic stability, characterized by low and </w:t>
      </w:r>
      <w:r w:rsidRPr="000A7C4A">
        <w:rPr>
          <w:rFonts w:ascii="Century Gothic" w:hAnsi="Century Gothic" w:cs="Arial"/>
        </w:rPr>
        <w:t>stable inflation at single-digit levels;</w:t>
      </w:r>
    </w:p>
    <w:p w14:paraId="6936AA21" w14:textId="77777777" w:rsidR="00BE6E79" w:rsidRPr="000A7C4A" w:rsidRDefault="00BE6E79" w:rsidP="009A1F23">
      <w:pPr>
        <w:pStyle w:val="NoSpacing"/>
        <w:numPr>
          <w:ilvl w:val="0"/>
          <w:numId w:val="5"/>
        </w:numPr>
        <w:jc w:val="both"/>
        <w:rPr>
          <w:rFonts w:ascii="Century Gothic" w:hAnsi="Century Gothic" w:cs="Arial"/>
        </w:rPr>
      </w:pPr>
      <w:r w:rsidRPr="000A7C4A">
        <w:rPr>
          <w:rFonts w:ascii="Century Gothic" w:hAnsi="Century Gothic" w:cs="Arial"/>
          <w:lang w:val="en-US"/>
        </w:rPr>
        <w:t>Adequate foreign currency reserves of at least 3-6 months of imports cover in the medium to long-term;</w:t>
      </w:r>
    </w:p>
    <w:p w14:paraId="71299D09" w14:textId="77777777" w:rsidR="00BE6E79" w:rsidRPr="000A7C4A" w:rsidRDefault="00BE6E79" w:rsidP="009A1F23">
      <w:pPr>
        <w:pStyle w:val="NoSpacing"/>
        <w:numPr>
          <w:ilvl w:val="0"/>
          <w:numId w:val="5"/>
        </w:numPr>
        <w:jc w:val="both"/>
        <w:rPr>
          <w:rFonts w:ascii="Century Gothic" w:hAnsi="Century Gothic" w:cs="Arial"/>
        </w:rPr>
      </w:pPr>
      <w:r w:rsidRPr="000A7C4A">
        <w:rPr>
          <w:rFonts w:ascii="Century Gothic" w:hAnsi="Century Gothic" w:cs="Arial"/>
          <w:lang w:val="en-US"/>
        </w:rPr>
        <w:t xml:space="preserve">Efficient foreign exchange management system that eliminates foreign currency market segmentation, and promotes ease of access to foreign currency by importers </w:t>
      </w:r>
      <w:r w:rsidRPr="000A7C4A">
        <w:rPr>
          <w:rFonts w:ascii="Century Gothic" w:hAnsi="Century Gothic" w:cs="Arial"/>
        </w:rPr>
        <w:t>and other bona fide requirements;</w:t>
      </w:r>
    </w:p>
    <w:p w14:paraId="192719F3" w14:textId="77777777" w:rsidR="00BE6E79" w:rsidRPr="000A7C4A" w:rsidRDefault="00BE6E79" w:rsidP="009A1F23">
      <w:pPr>
        <w:pStyle w:val="NoSpacing"/>
        <w:numPr>
          <w:ilvl w:val="0"/>
          <w:numId w:val="5"/>
        </w:numPr>
        <w:jc w:val="both"/>
        <w:rPr>
          <w:rFonts w:ascii="Century Gothic" w:hAnsi="Century Gothic" w:cs="Arial"/>
        </w:rPr>
      </w:pPr>
      <w:r w:rsidRPr="000A7C4A">
        <w:rPr>
          <w:rFonts w:ascii="Century Gothic" w:hAnsi="Century Gothic" w:cs="Arial"/>
          <w:lang w:val="en-US"/>
        </w:rPr>
        <w:t xml:space="preserve">Stable exchange rate with minimum over/undervaluation </w:t>
      </w:r>
      <w:r w:rsidRPr="000A7C4A">
        <w:rPr>
          <w:rFonts w:ascii="Century Gothic" w:hAnsi="Century Gothic" w:cs="Arial"/>
        </w:rPr>
        <w:t>of ZiG;</w:t>
      </w:r>
    </w:p>
    <w:p w14:paraId="0C1B2FD6" w14:textId="77777777" w:rsidR="00BE6E79" w:rsidRPr="000A7C4A" w:rsidRDefault="00BE6E79" w:rsidP="009A1F23">
      <w:pPr>
        <w:pStyle w:val="NoSpacing"/>
        <w:numPr>
          <w:ilvl w:val="0"/>
          <w:numId w:val="5"/>
        </w:numPr>
        <w:jc w:val="both"/>
        <w:rPr>
          <w:rFonts w:ascii="Century Gothic" w:hAnsi="Century Gothic" w:cs="Arial"/>
        </w:rPr>
      </w:pPr>
      <w:r w:rsidRPr="000A7C4A">
        <w:rPr>
          <w:rFonts w:ascii="Century Gothic" w:hAnsi="Century Gothic" w:cs="Arial"/>
          <w:lang w:val="en-US"/>
        </w:rPr>
        <w:t xml:space="preserve">Increased demand for local currency (ZiG) through recalibration of the percentage of Government taxes, and broadening payments of public sector goods and services, </w:t>
      </w:r>
      <w:r w:rsidRPr="000A7C4A">
        <w:rPr>
          <w:rFonts w:ascii="Century Gothic" w:hAnsi="Century Gothic" w:cs="Arial"/>
        </w:rPr>
        <w:t>in local currency;</w:t>
      </w:r>
    </w:p>
    <w:p w14:paraId="0A06CCD5" w14:textId="77777777" w:rsidR="00BE6E79" w:rsidRPr="000A7C4A" w:rsidRDefault="00BE6E79" w:rsidP="009A1F23">
      <w:pPr>
        <w:pStyle w:val="NoSpacing"/>
        <w:numPr>
          <w:ilvl w:val="0"/>
          <w:numId w:val="5"/>
        </w:numPr>
        <w:jc w:val="both"/>
        <w:rPr>
          <w:rFonts w:ascii="Century Gothic" w:hAnsi="Century Gothic" w:cs="Arial"/>
        </w:rPr>
      </w:pPr>
      <w:r w:rsidRPr="000A7C4A">
        <w:rPr>
          <w:rFonts w:ascii="Century Gothic" w:hAnsi="Century Gothic" w:cs="Arial"/>
        </w:rPr>
        <w:t>Financial sector stability;</w:t>
      </w:r>
    </w:p>
    <w:p w14:paraId="41ECC1AC" w14:textId="77777777" w:rsidR="00BE6E79" w:rsidRPr="000A7C4A" w:rsidRDefault="00BE6E79" w:rsidP="009A1F23">
      <w:pPr>
        <w:pStyle w:val="NoSpacing"/>
        <w:numPr>
          <w:ilvl w:val="0"/>
          <w:numId w:val="5"/>
        </w:numPr>
        <w:jc w:val="both"/>
        <w:rPr>
          <w:rFonts w:ascii="Century Gothic" w:hAnsi="Century Gothic" w:cs="Arial"/>
        </w:rPr>
      </w:pPr>
      <w:r w:rsidRPr="000A7C4A">
        <w:rPr>
          <w:rFonts w:ascii="Century Gothic" w:hAnsi="Century Gothic" w:cs="Arial"/>
          <w:lang w:val="en-US"/>
        </w:rPr>
        <w:t>Efficient and secure National Payments System to promote ease of payment in ZiG; and</w:t>
      </w:r>
    </w:p>
    <w:p w14:paraId="32CEC977" w14:textId="77777777" w:rsidR="00BE6E79" w:rsidRPr="000A7C4A" w:rsidRDefault="00BE6E79" w:rsidP="009A1F23">
      <w:pPr>
        <w:pStyle w:val="NoSpacing"/>
        <w:numPr>
          <w:ilvl w:val="0"/>
          <w:numId w:val="5"/>
        </w:numPr>
        <w:jc w:val="both"/>
        <w:rPr>
          <w:rFonts w:ascii="Century Gothic" w:hAnsi="Century Gothic" w:cs="Arial"/>
        </w:rPr>
      </w:pPr>
      <w:r w:rsidRPr="000A7C4A">
        <w:rPr>
          <w:rFonts w:ascii="Century Gothic" w:hAnsi="Century Gothic" w:cs="Arial"/>
          <w:lang w:val="en-US"/>
        </w:rPr>
        <w:t xml:space="preserve">Fiscal and monetary policy cohesion with low and </w:t>
      </w:r>
      <w:r w:rsidRPr="000A7C4A">
        <w:rPr>
          <w:rFonts w:ascii="Century Gothic" w:hAnsi="Century Gothic" w:cs="Arial"/>
        </w:rPr>
        <w:t>sustainable deficits.</w:t>
      </w:r>
    </w:p>
    <w:p w14:paraId="5B59EEDC" w14:textId="77777777" w:rsidR="005C2B94" w:rsidRPr="000A7C4A" w:rsidRDefault="005C2B94" w:rsidP="005C2B94">
      <w:pPr>
        <w:pStyle w:val="NoSpacing"/>
        <w:jc w:val="both"/>
        <w:rPr>
          <w:rFonts w:ascii="Century Gothic" w:hAnsi="Century Gothic" w:cs="Arial"/>
        </w:rPr>
      </w:pPr>
    </w:p>
    <w:p w14:paraId="421395E0" w14:textId="33119D04" w:rsidR="00BE6E79" w:rsidRPr="000A7C4A" w:rsidRDefault="005C2B94" w:rsidP="009A1F23">
      <w:pPr>
        <w:pStyle w:val="NoSpacing"/>
        <w:jc w:val="both"/>
        <w:rPr>
          <w:rFonts w:ascii="Century Gothic" w:hAnsi="Century Gothic" w:cs="Arial"/>
        </w:rPr>
      </w:pPr>
      <w:r w:rsidRPr="000A7C4A">
        <w:rPr>
          <w:rFonts w:ascii="Century Gothic" w:hAnsi="Century Gothic" w:cs="Arial"/>
        </w:rPr>
        <w:t xml:space="preserve">However, the date of 2030 is still legally prescribed, which contradicts the above. </w:t>
      </w:r>
      <w:r w:rsidR="004C0F55" w:rsidRPr="000A7C4A">
        <w:rPr>
          <w:rFonts w:ascii="Century Gothic" w:hAnsi="Century Gothic" w:cs="Arial"/>
        </w:rPr>
        <w:t xml:space="preserve">In addition, while the above Conditions Precedent are important, however, resolution of the legacy issues, and in particular lack of trust and confidence in the local currency, as well as Government institutions remains an impediment to de-dollarization. </w:t>
      </w:r>
      <w:r w:rsidRPr="000A7C4A">
        <w:rPr>
          <w:rFonts w:ascii="Century Gothic" w:hAnsi="Century Gothic" w:cs="Arial"/>
        </w:rPr>
        <w:t xml:space="preserve">At the Tripartite Negotiating Forum (TNF), </w:t>
      </w:r>
      <w:r w:rsidR="00092B29" w:rsidRPr="000A7C4A">
        <w:rPr>
          <w:rFonts w:ascii="Century Gothic" w:hAnsi="Century Gothic" w:cs="Arial"/>
        </w:rPr>
        <w:t xml:space="preserve">the social partners have </w:t>
      </w:r>
      <w:r w:rsidR="00BE6E79" w:rsidRPr="000A7C4A">
        <w:rPr>
          <w:rFonts w:ascii="Century Gothic" w:hAnsi="Century Gothic" w:cs="Arial"/>
          <w:b/>
          <w:bCs/>
          <w:i/>
          <w:iCs/>
        </w:rPr>
        <w:t>proposed a negotiated roadmap to de-dollarization in the draft National Social Contract.</w:t>
      </w:r>
    </w:p>
    <w:p w14:paraId="402043F8" w14:textId="77777777" w:rsidR="00092B29" w:rsidRPr="000A7C4A" w:rsidRDefault="00092B29" w:rsidP="009A1F23">
      <w:pPr>
        <w:pStyle w:val="NoSpacing"/>
        <w:jc w:val="both"/>
        <w:rPr>
          <w:rFonts w:ascii="Century Gothic" w:hAnsi="Century Gothic" w:cs="Arial"/>
          <w:lang w:val="en-US"/>
        </w:rPr>
      </w:pPr>
    </w:p>
    <w:p w14:paraId="453E65BB" w14:textId="4771870A" w:rsidR="00AD3E75" w:rsidRPr="000A7C4A" w:rsidRDefault="004C0F55" w:rsidP="004C0F55">
      <w:pPr>
        <w:pStyle w:val="NoSpacing"/>
        <w:ind w:left="720" w:hanging="720"/>
        <w:jc w:val="both"/>
        <w:rPr>
          <w:rFonts w:ascii="Century Gothic" w:hAnsi="Century Gothic" w:cs="Arial"/>
          <w:b/>
          <w:bCs/>
        </w:rPr>
      </w:pPr>
      <w:r w:rsidRPr="000A7C4A">
        <w:rPr>
          <w:rFonts w:ascii="Century Gothic" w:hAnsi="Century Gothic" w:cs="Arial"/>
          <w:lang w:val="en-US"/>
        </w:rPr>
        <w:t>3.9</w:t>
      </w:r>
      <w:r w:rsidRPr="000A7C4A">
        <w:rPr>
          <w:rFonts w:ascii="Century Gothic" w:hAnsi="Century Gothic" w:cs="Arial"/>
          <w:lang w:val="en-US"/>
        </w:rPr>
        <w:tab/>
      </w:r>
      <w:r w:rsidRPr="000A7C4A">
        <w:rPr>
          <w:rFonts w:ascii="Century Gothic" w:hAnsi="Century Gothic" w:cs="Arial"/>
          <w:b/>
          <w:bCs/>
          <w:lang w:val="en-US"/>
        </w:rPr>
        <w:t>Workers have borne a disproportionate burden of stabilization / austerity and still await compensation</w:t>
      </w:r>
      <w:r w:rsidR="00AD3E75" w:rsidRPr="000A7C4A">
        <w:rPr>
          <w:rFonts w:ascii="Century Gothic" w:hAnsi="Century Gothic" w:cs="Arial"/>
          <w:b/>
          <w:bCs/>
        </w:rPr>
        <w:t xml:space="preserve"> for loss of value for insurance premiums and pension contribut</w:t>
      </w:r>
      <w:r w:rsidR="004C08D3" w:rsidRPr="000A7C4A">
        <w:rPr>
          <w:rFonts w:ascii="Century Gothic" w:hAnsi="Century Gothic" w:cs="Arial"/>
          <w:b/>
          <w:bCs/>
        </w:rPr>
        <w:t>ions and benefits</w:t>
      </w:r>
    </w:p>
    <w:p w14:paraId="05D19486" w14:textId="77777777" w:rsidR="00AD3E75" w:rsidRPr="000A7C4A" w:rsidRDefault="00AD3E75" w:rsidP="009A1F23">
      <w:pPr>
        <w:pStyle w:val="NoSpacing"/>
        <w:jc w:val="both"/>
        <w:rPr>
          <w:rFonts w:ascii="Century Gothic" w:hAnsi="Century Gothic" w:cs="Arial"/>
          <w:b/>
          <w:bCs/>
        </w:rPr>
      </w:pPr>
    </w:p>
    <w:p w14:paraId="543B8722" w14:textId="77777777" w:rsidR="00AD3E75" w:rsidRPr="000A7C4A" w:rsidRDefault="00AD3E75" w:rsidP="009A1F23">
      <w:pPr>
        <w:pStyle w:val="NoSpacing"/>
        <w:jc w:val="both"/>
        <w:rPr>
          <w:rFonts w:ascii="Century Gothic" w:hAnsi="Century Gothic" w:cs="Arial"/>
        </w:rPr>
      </w:pPr>
      <w:r w:rsidRPr="000A7C4A">
        <w:rPr>
          <w:rFonts w:ascii="Century Gothic" w:hAnsi="Century Gothic" w:cs="Arial"/>
        </w:rPr>
        <w:t>While in past budgets the Minister of Finance, Economic Development and Investment Promotion provided an update on the implementation of the recommendations of the Justice Smith (retired) Commission of Inquiry, especially on the issue of compensation for loss of value, the 2026 National Budget Statement omitted that aspect.</w:t>
      </w:r>
    </w:p>
    <w:p w14:paraId="0ABC14DF" w14:textId="77777777" w:rsidR="00AD3E75" w:rsidRPr="000A7C4A" w:rsidRDefault="00AD3E75" w:rsidP="009A1F23">
      <w:pPr>
        <w:pStyle w:val="NoSpacing"/>
        <w:jc w:val="both"/>
        <w:rPr>
          <w:rFonts w:ascii="Century Gothic" w:hAnsi="Century Gothic" w:cs="Arial"/>
        </w:rPr>
      </w:pPr>
    </w:p>
    <w:p w14:paraId="6C79699A" w14:textId="77777777" w:rsidR="00AD3E75" w:rsidRPr="000A7C4A" w:rsidRDefault="00AD3E75" w:rsidP="009A1F23">
      <w:pPr>
        <w:pStyle w:val="NoSpacing"/>
        <w:jc w:val="both"/>
        <w:rPr>
          <w:rFonts w:ascii="Century Gothic" w:hAnsi="Century Gothic" w:cs="Arial"/>
        </w:rPr>
      </w:pPr>
      <w:r w:rsidRPr="000A7C4A">
        <w:rPr>
          <w:rFonts w:ascii="Century Gothic" w:hAnsi="Century Gothic" w:cs="Arial"/>
        </w:rPr>
        <w:t>However, in the 2025 mid-term budget and economic review, the Minister of Finance, Economic Development and Investment Promotion indicated that compensation for pensioners whose contributions lost value due to the 2009 currency reforms is protracted due to the following reasons:</w:t>
      </w:r>
    </w:p>
    <w:p w14:paraId="08D53ACD" w14:textId="77777777" w:rsidR="00AD3E75" w:rsidRPr="000A7C4A" w:rsidRDefault="00AD3E75" w:rsidP="009A1F23">
      <w:pPr>
        <w:pStyle w:val="NoSpacing"/>
        <w:numPr>
          <w:ilvl w:val="0"/>
          <w:numId w:val="3"/>
        </w:numPr>
        <w:jc w:val="both"/>
        <w:rPr>
          <w:rFonts w:ascii="Century Gothic" w:hAnsi="Century Gothic" w:cs="Arial"/>
        </w:rPr>
      </w:pPr>
      <w:r w:rsidRPr="000A7C4A">
        <w:rPr>
          <w:rFonts w:ascii="Century Gothic" w:hAnsi="Century Gothic" w:cs="Arial"/>
        </w:rPr>
        <w:lastRenderedPageBreak/>
        <w:t>Some pension funds and insurers have serious data gaps relating to the investigative period, making it difficult to compute compensation as per the provisions of Statutory Instrument 162 of 2023;</w:t>
      </w:r>
    </w:p>
    <w:p w14:paraId="773D75B4" w14:textId="77777777" w:rsidR="00AD3E75" w:rsidRPr="000A7C4A" w:rsidRDefault="00AD3E75" w:rsidP="009A1F23">
      <w:pPr>
        <w:pStyle w:val="NoSpacing"/>
        <w:numPr>
          <w:ilvl w:val="0"/>
          <w:numId w:val="3"/>
        </w:numPr>
        <w:jc w:val="both"/>
        <w:rPr>
          <w:rFonts w:ascii="Century Gothic" w:hAnsi="Century Gothic" w:cs="Arial"/>
        </w:rPr>
      </w:pPr>
      <w:r w:rsidRPr="000A7C4A">
        <w:rPr>
          <w:rFonts w:ascii="Century Gothic" w:hAnsi="Century Gothic" w:cs="Arial"/>
        </w:rPr>
        <w:t>All life companies are struggling to separate assets for shareholders and policyholders for the investigative period; and</w:t>
      </w:r>
    </w:p>
    <w:p w14:paraId="0BD9732E" w14:textId="77777777" w:rsidR="00AD3E75" w:rsidRPr="000A7C4A" w:rsidRDefault="00AD3E75" w:rsidP="009A1F23">
      <w:pPr>
        <w:pStyle w:val="NoSpacing"/>
        <w:numPr>
          <w:ilvl w:val="0"/>
          <w:numId w:val="3"/>
        </w:numPr>
        <w:jc w:val="both"/>
        <w:rPr>
          <w:rFonts w:ascii="Century Gothic" w:hAnsi="Century Gothic" w:cs="Arial"/>
        </w:rPr>
      </w:pPr>
      <w:r w:rsidRPr="000A7C4A">
        <w:rPr>
          <w:rFonts w:ascii="Century Gothic" w:hAnsi="Century Gothic" w:cs="Arial"/>
        </w:rPr>
        <w:t>Substantial funding shortfalls for some pension funds as available assets cannot fully support the computed liabilities.</w:t>
      </w:r>
    </w:p>
    <w:p w14:paraId="524C63D2" w14:textId="77777777" w:rsidR="006914B2" w:rsidRPr="000A7C4A" w:rsidRDefault="006914B2" w:rsidP="009A1F23">
      <w:pPr>
        <w:pStyle w:val="NoSpacing"/>
        <w:jc w:val="both"/>
        <w:rPr>
          <w:rFonts w:ascii="Century Gothic" w:hAnsi="Century Gothic" w:cs="Arial"/>
        </w:rPr>
      </w:pPr>
    </w:p>
    <w:p w14:paraId="474D422A" w14:textId="7B64567C" w:rsidR="00D5227D" w:rsidRPr="000A7C4A" w:rsidRDefault="004C0F55" w:rsidP="00D5227D">
      <w:pPr>
        <w:pStyle w:val="NoSpacing"/>
        <w:jc w:val="both"/>
        <w:rPr>
          <w:rFonts w:ascii="Century Gothic" w:hAnsi="Century Gothic" w:cs="Arial"/>
        </w:rPr>
      </w:pPr>
      <w:r w:rsidRPr="000A7C4A">
        <w:rPr>
          <w:rFonts w:ascii="Century Gothic" w:hAnsi="Century Gothic" w:cs="Arial"/>
        </w:rPr>
        <w:t xml:space="preserve">While the Budget Statement </w:t>
      </w:r>
      <w:r w:rsidR="00D5227D" w:rsidRPr="000A7C4A">
        <w:rPr>
          <w:rFonts w:ascii="Century Gothic" w:hAnsi="Century Gothic" w:cs="Arial"/>
        </w:rPr>
        <w:t>refers</w:t>
      </w:r>
      <w:r w:rsidRPr="000A7C4A">
        <w:rPr>
          <w:rFonts w:ascii="Century Gothic" w:hAnsi="Century Gothic" w:cs="Arial"/>
        </w:rPr>
        <w:t xml:space="preserve"> to t</w:t>
      </w:r>
      <w:r w:rsidR="007B5000" w:rsidRPr="000A7C4A">
        <w:rPr>
          <w:rFonts w:ascii="Century Gothic" w:hAnsi="Century Gothic" w:cs="Arial"/>
        </w:rPr>
        <w:t xml:space="preserve">he wage bill </w:t>
      </w:r>
      <w:r w:rsidRPr="000A7C4A">
        <w:rPr>
          <w:rFonts w:ascii="Century Gothic" w:hAnsi="Century Gothic" w:cs="Arial"/>
        </w:rPr>
        <w:t xml:space="preserve">having </w:t>
      </w:r>
      <w:r w:rsidR="007B5000" w:rsidRPr="000A7C4A">
        <w:rPr>
          <w:rFonts w:ascii="Century Gothic" w:hAnsi="Century Gothic" w:cs="Arial"/>
        </w:rPr>
        <w:t>increased from 6.8% of GDP in 2024 to 8.1% of GDP in 2025, driven by civil service allowances and headcount growth</w:t>
      </w:r>
      <w:r w:rsidRPr="000A7C4A">
        <w:rPr>
          <w:rFonts w:ascii="Century Gothic" w:hAnsi="Century Gothic" w:cs="Arial"/>
        </w:rPr>
        <w:t xml:space="preserve">, sufficient focus has not been applied to the low and inadequacy of the </w:t>
      </w:r>
      <w:r w:rsidR="00D5227D" w:rsidRPr="000A7C4A">
        <w:rPr>
          <w:rFonts w:ascii="Century Gothic" w:hAnsi="Century Gothic" w:cs="Arial"/>
        </w:rPr>
        <w:t>prevailing wages and salaries</w:t>
      </w:r>
      <w:r w:rsidR="007B5000" w:rsidRPr="000A7C4A">
        <w:rPr>
          <w:rFonts w:ascii="Century Gothic" w:hAnsi="Century Gothic" w:cs="Arial"/>
        </w:rPr>
        <w:t>.</w:t>
      </w:r>
      <w:r w:rsidR="00D91A8A" w:rsidRPr="000A7C4A">
        <w:rPr>
          <w:rFonts w:ascii="Century Gothic" w:hAnsi="Century Gothic" w:cs="Arial"/>
        </w:rPr>
        <w:t xml:space="preserve"> </w:t>
      </w:r>
      <w:r w:rsidR="00D5227D" w:rsidRPr="000A7C4A">
        <w:rPr>
          <w:rFonts w:ascii="Century Gothic" w:hAnsi="Century Gothic" w:cs="Arial"/>
        </w:rPr>
        <w:t>T</w:t>
      </w:r>
      <w:r w:rsidR="00A03167" w:rsidRPr="000A7C4A">
        <w:rPr>
          <w:rFonts w:ascii="Century Gothic" w:hAnsi="Century Gothic" w:cs="Arial"/>
        </w:rPr>
        <w:t>he average minimum wage of US$23</w:t>
      </w:r>
      <w:r w:rsidR="00D5227D" w:rsidRPr="000A7C4A">
        <w:rPr>
          <w:rFonts w:ascii="Century Gothic" w:hAnsi="Century Gothic" w:cs="Arial"/>
        </w:rPr>
        <w:t>0 is way below the minimum required to sustain a worker. The recent strike by University of Zimbabwe staff exposed the extent of the erosion of salaries in that while pre-October 2018 junior lecturers earned on average US$2,250 per month, this has been whittled down to the current take home salary of only US$230 plus a local currency component of less than ZiG8,000 – worth under US$200 – an effective salary cut of 87%. The slow pace of wage adjustment is reflected in that the minimum wage which was negotiated at the Tripartite Negotiating Forum (TNF) of USD150 (or its ZiG equivalent) per month was approved by Cabinet in October 2022, and only gazetted on Friday, May 23, 2025. Heightened job losses, as well as a tight labour market, have turned the tables against the working people of Zimbabwe.</w:t>
      </w:r>
      <w:r w:rsidR="00D91A8A" w:rsidRPr="000A7C4A">
        <w:rPr>
          <w:rFonts w:ascii="Century Gothic" w:hAnsi="Century Gothic" w:cs="Arial"/>
        </w:rPr>
        <w:t xml:space="preserve"> </w:t>
      </w:r>
      <w:r w:rsidR="00D5227D" w:rsidRPr="000A7C4A">
        <w:rPr>
          <w:rFonts w:ascii="Century Gothic" w:hAnsi="Century Gothic" w:cs="Arial"/>
        </w:rPr>
        <w:t xml:space="preserve">In addition, an overly tight monetary policy framework has resulted in artificial shortages of the domestic currency, amidst a rapidly dollarizing economy.  </w:t>
      </w:r>
    </w:p>
    <w:p w14:paraId="1DA7E879" w14:textId="77777777" w:rsidR="007B5000" w:rsidRPr="000A7C4A" w:rsidRDefault="007B5000" w:rsidP="007B5000">
      <w:pPr>
        <w:pStyle w:val="NoSpacing"/>
        <w:jc w:val="both"/>
        <w:rPr>
          <w:rFonts w:ascii="Century Gothic" w:hAnsi="Century Gothic" w:cs="Arial"/>
        </w:rPr>
      </w:pPr>
    </w:p>
    <w:p w14:paraId="64DB6D9B" w14:textId="596CD30A" w:rsidR="00D5227D" w:rsidRPr="000A7C4A" w:rsidRDefault="00D5227D" w:rsidP="00D5227D">
      <w:pPr>
        <w:pStyle w:val="NoSpacing"/>
        <w:jc w:val="both"/>
        <w:rPr>
          <w:rFonts w:ascii="Century Gothic" w:hAnsi="Century Gothic" w:cs="Arial"/>
        </w:rPr>
      </w:pPr>
      <w:r w:rsidRPr="000A7C4A">
        <w:rPr>
          <w:rFonts w:ascii="Century Gothic" w:hAnsi="Century Gothic" w:cs="Arial"/>
        </w:rPr>
        <w:t>In addition, as highlighted in the 2025 mid-term budget and economic review, compensation for pensioners whose contributions lost value due to the 2009 currency reforms is protracted due to the following reasons:</w:t>
      </w:r>
    </w:p>
    <w:p w14:paraId="5108B52A" w14:textId="77777777" w:rsidR="00D5227D" w:rsidRPr="000A7C4A" w:rsidRDefault="00D5227D" w:rsidP="00D5227D">
      <w:pPr>
        <w:pStyle w:val="NoSpacing"/>
        <w:numPr>
          <w:ilvl w:val="0"/>
          <w:numId w:val="19"/>
        </w:numPr>
        <w:jc w:val="both"/>
        <w:rPr>
          <w:rFonts w:ascii="Century Gothic" w:hAnsi="Century Gothic" w:cs="Arial"/>
        </w:rPr>
      </w:pPr>
      <w:r w:rsidRPr="000A7C4A">
        <w:rPr>
          <w:rFonts w:ascii="Century Gothic" w:hAnsi="Century Gothic" w:cs="Arial"/>
        </w:rPr>
        <w:t>Some pension funds and insurers have serious data gaps relating to the investigative period, making it difficult to compute compensation as per the provisions of Statutory Instrument 162 of 2023;</w:t>
      </w:r>
    </w:p>
    <w:p w14:paraId="561AEEA3" w14:textId="77777777" w:rsidR="00D5227D" w:rsidRPr="000A7C4A" w:rsidRDefault="00D5227D" w:rsidP="00D5227D">
      <w:pPr>
        <w:pStyle w:val="NoSpacing"/>
        <w:numPr>
          <w:ilvl w:val="0"/>
          <w:numId w:val="19"/>
        </w:numPr>
        <w:jc w:val="both"/>
        <w:rPr>
          <w:rFonts w:ascii="Century Gothic" w:hAnsi="Century Gothic" w:cs="Arial"/>
        </w:rPr>
      </w:pPr>
      <w:r w:rsidRPr="000A7C4A">
        <w:rPr>
          <w:rFonts w:ascii="Century Gothic" w:hAnsi="Century Gothic" w:cs="Arial"/>
        </w:rPr>
        <w:t>All life companies are struggling to separate assets for shareholders and policyholders for the investigative period; and</w:t>
      </w:r>
    </w:p>
    <w:p w14:paraId="6241D002" w14:textId="77777777" w:rsidR="00D5227D" w:rsidRPr="000A7C4A" w:rsidRDefault="00D5227D" w:rsidP="00D5227D">
      <w:pPr>
        <w:pStyle w:val="NoSpacing"/>
        <w:numPr>
          <w:ilvl w:val="0"/>
          <w:numId w:val="19"/>
        </w:numPr>
        <w:jc w:val="both"/>
        <w:rPr>
          <w:rFonts w:ascii="Century Gothic" w:hAnsi="Century Gothic" w:cs="Arial"/>
        </w:rPr>
      </w:pPr>
      <w:r w:rsidRPr="000A7C4A">
        <w:rPr>
          <w:rFonts w:ascii="Century Gothic" w:hAnsi="Century Gothic" w:cs="Arial"/>
        </w:rPr>
        <w:t>Substantial funding shortfalls for some pension funds as available assets cannot fully support the computed liabilities.</w:t>
      </w:r>
    </w:p>
    <w:p w14:paraId="519BC720" w14:textId="57B85719" w:rsidR="00AA4F03" w:rsidRPr="000A7C4A" w:rsidRDefault="00AA4F03" w:rsidP="009A1F23">
      <w:pPr>
        <w:pStyle w:val="NoSpacing"/>
        <w:jc w:val="both"/>
        <w:rPr>
          <w:rFonts w:ascii="Century Gothic" w:hAnsi="Century Gothic" w:cs="Arial"/>
        </w:rPr>
      </w:pPr>
    </w:p>
    <w:p w14:paraId="35F9E277" w14:textId="25EEAA0B" w:rsidR="00751557" w:rsidRPr="000A7C4A" w:rsidRDefault="002A2911" w:rsidP="00751557">
      <w:pPr>
        <w:pStyle w:val="NoSpacing"/>
        <w:jc w:val="both"/>
        <w:rPr>
          <w:rFonts w:ascii="Century Gothic" w:hAnsi="Century Gothic" w:cs="Arial"/>
        </w:rPr>
      </w:pPr>
      <w:r w:rsidRPr="000A7C4A">
        <w:rPr>
          <w:rFonts w:ascii="Century Gothic" w:hAnsi="Century Gothic" w:cs="Arial"/>
        </w:rPr>
        <w:t>Some of the proposed revenue mobilizations measures in the 2026 National Budget will further worsen the plight of the workers. These include</w:t>
      </w:r>
      <w:r w:rsidR="00F00DB5" w:rsidRPr="000A7C4A">
        <w:rPr>
          <w:rFonts w:ascii="Century Gothic" w:hAnsi="Century Gothic" w:cs="Arial"/>
        </w:rPr>
        <w:t xml:space="preserve"> t</w:t>
      </w:r>
      <w:r w:rsidR="00751557" w:rsidRPr="000A7C4A">
        <w:rPr>
          <w:rFonts w:ascii="Century Gothic" w:hAnsi="Century Gothic" w:cs="Arial"/>
        </w:rPr>
        <w:t>he proposed increase in the VAT rate from 15% to 15.5%</w:t>
      </w:r>
      <w:r w:rsidR="00F00DB5" w:rsidRPr="000A7C4A">
        <w:rPr>
          <w:rFonts w:ascii="Century Gothic" w:hAnsi="Century Gothic" w:cs="Arial"/>
        </w:rPr>
        <w:t xml:space="preserve">. </w:t>
      </w:r>
      <w:r w:rsidR="00751557" w:rsidRPr="000A7C4A">
        <w:rPr>
          <w:rFonts w:ascii="Century Gothic" w:hAnsi="Century Gothic" w:cs="Arial"/>
        </w:rPr>
        <w:t xml:space="preserve">While the proposed reduction of the IMTT rate on ZiG-denominated transactions from 2% to 1.5% is welcome, IMTT on foreign currency transactions will be maintained at 2%. For businesses, they will benefit from the proposal to designate IMTT as a tax-deductible expense for purposes of Corporate Income Tax computation. As ZCTU, we feel that the idea of the IMTT is regressive </w:t>
      </w:r>
      <w:r w:rsidR="00F00DB5" w:rsidRPr="000A7C4A">
        <w:rPr>
          <w:rFonts w:ascii="Century Gothic" w:hAnsi="Century Gothic" w:cs="Arial"/>
        </w:rPr>
        <w:t xml:space="preserve">and should be scrapped. This is the reason why the 2026 Budget proposes to exempt transfer of funds from the Mutapa Investment Fund from it as it views it as burdensome. </w:t>
      </w:r>
      <w:r w:rsidR="00144779" w:rsidRPr="000A7C4A">
        <w:rPr>
          <w:rFonts w:ascii="Century Gothic" w:hAnsi="Century Gothic" w:cs="Arial"/>
        </w:rPr>
        <w:t xml:space="preserve">The proposed cash withdrawal levy on a </w:t>
      </w:r>
      <w:r w:rsidR="00317843" w:rsidRPr="000A7C4A">
        <w:rPr>
          <w:rFonts w:ascii="Century Gothic" w:hAnsi="Century Gothic" w:cs="Arial"/>
        </w:rPr>
        <w:t>transaction</w:t>
      </w:r>
      <w:r w:rsidR="00144779" w:rsidRPr="000A7C4A">
        <w:rPr>
          <w:rFonts w:ascii="Century Gothic" w:hAnsi="Century Gothic" w:cs="Arial"/>
        </w:rPr>
        <w:t xml:space="preserve"> above US$500 for individuals and US$5,000 for corporates will </w:t>
      </w:r>
      <w:r w:rsidR="00317843" w:rsidRPr="000A7C4A">
        <w:rPr>
          <w:rFonts w:ascii="Century Gothic" w:hAnsi="Century Gothic" w:cs="Arial"/>
        </w:rPr>
        <w:t xml:space="preserve">add to the already burdensome IMTT and promote avoidance of formal banking. </w:t>
      </w:r>
      <w:r w:rsidR="00751557" w:rsidRPr="000A7C4A">
        <w:rPr>
          <w:rFonts w:ascii="Century Gothic" w:hAnsi="Century Gothic" w:cs="Arial"/>
        </w:rPr>
        <w:t>Furthermore, in terms of Pay as You Earn, there are no proposed changes in the tax tables from the prior year.</w:t>
      </w:r>
    </w:p>
    <w:p w14:paraId="629A8878" w14:textId="77777777" w:rsidR="00D5227D" w:rsidRPr="000A7C4A" w:rsidRDefault="00D5227D" w:rsidP="009A1F23">
      <w:pPr>
        <w:pStyle w:val="NoSpacing"/>
        <w:jc w:val="both"/>
        <w:rPr>
          <w:rFonts w:ascii="Century Gothic" w:hAnsi="Century Gothic" w:cs="Arial"/>
        </w:rPr>
      </w:pPr>
    </w:p>
    <w:p w14:paraId="44426552" w14:textId="4D7FA488" w:rsidR="000F57FC" w:rsidRPr="000A7C4A" w:rsidRDefault="00317843" w:rsidP="00430DCE">
      <w:pPr>
        <w:pStyle w:val="NoSpacing"/>
        <w:jc w:val="both"/>
        <w:rPr>
          <w:rFonts w:ascii="Century Gothic" w:hAnsi="Century Gothic" w:cs="Arial"/>
        </w:rPr>
      </w:pPr>
      <w:r w:rsidRPr="000A7C4A">
        <w:rPr>
          <w:rFonts w:ascii="Century Gothic" w:hAnsi="Century Gothic" w:cs="Arial"/>
        </w:rPr>
        <w:t>3.10</w:t>
      </w:r>
      <w:r w:rsidRPr="000A7C4A">
        <w:rPr>
          <w:rFonts w:ascii="Century Gothic" w:hAnsi="Century Gothic" w:cs="Arial"/>
        </w:rPr>
        <w:tab/>
      </w:r>
      <w:r w:rsidRPr="000A7C4A">
        <w:rPr>
          <w:rFonts w:ascii="Century Gothic" w:hAnsi="Century Gothic" w:cs="Arial"/>
          <w:b/>
          <w:bCs/>
        </w:rPr>
        <w:t>Enforcement of Presumptive Tax Collection</w:t>
      </w:r>
    </w:p>
    <w:p w14:paraId="2BCCCF48" w14:textId="77777777" w:rsidR="004C0F55" w:rsidRPr="000A7C4A" w:rsidRDefault="004C0F55" w:rsidP="00430DCE">
      <w:pPr>
        <w:pStyle w:val="NoSpacing"/>
        <w:jc w:val="both"/>
        <w:rPr>
          <w:rFonts w:ascii="Century Gothic" w:hAnsi="Century Gothic" w:cs="Arial"/>
        </w:rPr>
      </w:pPr>
    </w:p>
    <w:p w14:paraId="50116DF7" w14:textId="7612B13A" w:rsidR="00317843" w:rsidRPr="000A7C4A" w:rsidRDefault="00317843" w:rsidP="00430DCE">
      <w:pPr>
        <w:pStyle w:val="NoSpacing"/>
        <w:jc w:val="both"/>
        <w:rPr>
          <w:rFonts w:ascii="Century Gothic" w:hAnsi="Century Gothic" w:cs="Arial"/>
        </w:rPr>
      </w:pPr>
      <w:r w:rsidRPr="000A7C4A">
        <w:rPr>
          <w:rFonts w:ascii="Century Gothic" w:hAnsi="Century Gothic" w:cs="Arial"/>
        </w:rPr>
        <w:t xml:space="preserve">In recognition of the significant contribution of the Informal Economy to the overall economy, and </w:t>
      </w:r>
      <w:r w:rsidR="00430DCE" w:rsidRPr="000A7C4A">
        <w:rPr>
          <w:rFonts w:ascii="Century Gothic" w:hAnsi="Century Gothic" w:cs="Arial"/>
        </w:rPr>
        <w:t>to</w:t>
      </w:r>
      <w:r w:rsidRPr="000A7C4A">
        <w:rPr>
          <w:rFonts w:ascii="Century Gothic" w:hAnsi="Century Gothic" w:cs="Arial"/>
        </w:rPr>
        <w:t xml:space="preserve"> broaden the tax base, Government introduced the Presumptive Tax Framework targeting micro, small and medium enterprises</w:t>
      </w:r>
      <w:r w:rsidR="001B7D2E" w:rsidRPr="000A7C4A">
        <w:rPr>
          <w:rFonts w:ascii="Century Gothic" w:hAnsi="Century Gothic" w:cs="Arial"/>
        </w:rPr>
        <w:t xml:space="preserve"> </w:t>
      </w:r>
      <w:r w:rsidRPr="000A7C4A">
        <w:rPr>
          <w:rFonts w:ascii="Century Gothic" w:hAnsi="Century Gothic" w:cs="Arial"/>
        </w:rPr>
        <w:t>that traditionally fall outside the formal tax system. However, presumptive tax collections amounted to only US$4.8 million as at October 2025, implying that collections remain below potential given the estimated size of the emerging sector. Government is of the view that the existing tax rates and administrative arrangements have not adequately incentivised voluntary compliance as a significant number of operators continuing to evade their tax obligations. Therefore, the 2026 National Budget seeks to review the administrative and institutional framework governing tax collection in the Informal Economy to enhance collaboration and integration of digitised systems between ZIMRA, Local Authorities and other regulatory agencies.</w:t>
      </w:r>
      <w:r w:rsidR="00430DCE" w:rsidRPr="000A7C4A">
        <w:rPr>
          <w:rFonts w:ascii="Century Gothic" w:hAnsi="Century Gothic" w:cs="Arial"/>
        </w:rPr>
        <w:t xml:space="preserve"> In addition, the 2026 National Budget seeks to promote Migration from Presumptive Tax to Self-Assessment.</w:t>
      </w:r>
    </w:p>
    <w:p w14:paraId="716C2E40" w14:textId="77777777" w:rsidR="00317843" w:rsidRPr="000A7C4A" w:rsidRDefault="00317843" w:rsidP="00430DCE">
      <w:pPr>
        <w:pStyle w:val="NoSpacing"/>
        <w:jc w:val="both"/>
        <w:rPr>
          <w:rFonts w:ascii="Century Gothic" w:hAnsi="Century Gothic" w:cs="Arial"/>
        </w:rPr>
      </w:pPr>
    </w:p>
    <w:p w14:paraId="47ED8FB4" w14:textId="0873351A" w:rsidR="00430DCE" w:rsidRPr="000A7C4A" w:rsidRDefault="00430DCE" w:rsidP="00430DCE">
      <w:pPr>
        <w:pStyle w:val="NoSpacing"/>
        <w:jc w:val="both"/>
        <w:rPr>
          <w:rFonts w:ascii="Century Gothic" w:hAnsi="Century Gothic" w:cs="Arial"/>
          <w:b/>
          <w:bCs/>
          <w:i/>
          <w:iCs/>
        </w:rPr>
      </w:pPr>
      <w:r w:rsidRPr="000A7C4A">
        <w:rPr>
          <w:rFonts w:ascii="Century Gothic" w:hAnsi="Century Gothic" w:cs="Arial"/>
          <w:b/>
          <w:bCs/>
          <w:i/>
          <w:iCs/>
        </w:rPr>
        <w:t>Lessons on Taxing the Informal Economy from A Recent Study</w:t>
      </w:r>
    </w:p>
    <w:p w14:paraId="0A55904F" w14:textId="77777777" w:rsidR="00317843" w:rsidRPr="000A7C4A" w:rsidRDefault="00317843" w:rsidP="00430DCE">
      <w:pPr>
        <w:pStyle w:val="NoSpacing"/>
        <w:jc w:val="both"/>
        <w:rPr>
          <w:rFonts w:ascii="Century Gothic" w:hAnsi="Century Gothic" w:cs="Arial"/>
        </w:rPr>
      </w:pPr>
    </w:p>
    <w:p w14:paraId="31146293" w14:textId="6DD03CEE" w:rsidR="00430DCE" w:rsidRPr="000A7C4A" w:rsidRDefault="00430DCE" w:rsidP="00430DCE">
      <w:pPr>
        <w:pStyle w:val="NoSpacing"/>
        <w:jc w:val="both"/>
        <w:rPr>
          <w:rFonts w:ascii="Century Gothic" w:hAnsi="Century Gothic" w:cs="Arial"/>
        </w:rPr>
      </w:pPr>
      <w:r w:rsidRPr="000A7C4A">
        <w:rPr>
          <w:rFonts w:ascii="Century Gothic" w:hAnsi="Century Gothic" w:cs="Arial"/>
        </w:rPr>
        <w:t xml:space="preserve">A good analysis of the wrong-headedness of taxing the Informal Economy upfront is the recent study “Gwaindepi, A. and Venganai, H. (2025) Unpacking Informality for Tax Purposes: Evidence from Urban Zimbabwe, ICTD Working Paper 225, Brighton: Institute of Development Studies.” The study notes the growing interest in taxing the informal sector, with little attention paid to earnings distribution, and the user fees and permits that increase the cost of doing business as well as the vulnerability of those earning low incomes in the informal economy.  They highlight the various initiatives in Zimbabwe, such as introducing presumptive taxes to expand domestic revenue mobilisation beyond the formal economy. </w:t>
      </w:r>
    </w:p>
    <w:p w14:paraId="4323D9D0" w14:textId="77777777" w:rsidR="00430DCE" w:rsidRPr="000A7C4A" w:rsidRDefault="00430DCE" w:rsidP="00430DCE">
      <w:pPr>
        <w:pStyle w:val="NoSpacing"/>
        <w:jc w:val="both"/>
        <w:rPr>
          <w:rFonts w:ascii="Century Gothic" w:hAnsi="Century Gothic" w:cs="Arial"/>
        </w:rPr>
      </w:pPr>
    </w:p>
    <w:p w14:paraId="216E3549" w14:textId="52281B5F" w:rsidR="00430DCE" w:rsidRPr="000A7C4A" w:rsidRDefault="00430DCE" w:rsidP="00430DCE">
      <w:pPr>
        <w:pStyle w:val="NoSpacing"/>
        <w:jc w:val="both"/>
        <w:rPr>
          <w:rFonts w:ascii="Century Gothic" w:hAnsi="Century Gothic" w:cs="Arial"/>
        </w:rPr>
      </w:pPr>
      <w:r w:rsidRPr="000A7C4A">
        <w:rPr>
          <w:rFonts w:ascii="Century Gothic" w:hAnsi="Century Gothic" w:cs="Arial"/>
        </w:rPr>
        <w:t xml:space="preserve">The study conducted a survey in </w:t>
      </w:r>
      <w:r w:rsidR="001B7D2E" w:rsidRPr="000A7C4A">
        <w:rPr>
          <w:rFonts w:ascii="Century Gothic" w:hAnsi="Century Gothic" w:cs="Arial"/>
        </w:rPr>
        <w:t>2024 and</w:t>
      </w:r>
      <w:r w:rsidRPr="000A7C4A">
        <w:rPr>
          <w:rFonts w:ascii="Century Gothic" w:hAnsi="Century Gothic" w:cs="Arial"/>
        </w:rPr>
        <w:t xml:space="preserve"> produced a dataset from 2,490 informal sector operators in Harare and Masvingo, focusing on eight business types: hair salons, barbershops, taxis, minibuses, cooked food, uncooked food, clothing/textiles, and hardware. The study found that only the top earnings quintile (20%), dominated by informal transport providers, earns above the poverty line, and is potentially taxable. The remaining 80% fall below the poverty line, indicating that these activities primarily serve as a means of livelihood support. There is a huge gender income gap in informal economic activities as women are disproportionately concentrated in easy-entry economic activities in the goods sector (e.g. food and beverage trade</w:t>
      </w:r>
      <w:r w:rsidR="001B7D2E" w:rsidRPr="000A7C4A">
        <w:rPr>
          <w:rFonts w:ascii="Century Gothic" w:hAnsi="Century Gothic" w:cs="Arial"/>
        </w:rPr>
        <w:t>) and</w:t>
      </w:r>
      <w:r w:rsidRPr="000A7C4A">
        <w:rPr>
          <w:rFonts w:ascii="Century Gothic" w:hAnsi="Century Gothic" w:cs="Arial"/>
        </w:rPr>
        <w:t xml:space="preserve"> earn less than men in both Harare and Masvingo. </w:t>
      </w:r>
    </w:p>
    <w:p w14:paraId="6C2EDCD9" w14:textId="77777777" w:rsidR="00430DCE" w:rsidRPr="000A7C4A" w:rsidRDefault="00430DCE" w:rsidP="00430DCE">
      <w:pPr>
        <w:pStyle w:val="NoSpacing"/>
        <w:jc w:val="both"/>
        <w:rPr>
          <w:rFonts w:ascii="Century Gothic" w:hAnsi="Century Gothic" w:cs="Arial"/>
        </w:rPr>
      </w:pPr>
    </w:p>
    <w:p w14:paraId="458B1F44" w14:textId="037A1584" w:rsidR="00430DCE" w:rsidRPr="000A7C4A" w:rsidRDefault="00430DCE" w:rsidP="00430DCE">
      <w:pPr>
        <w:pStyle w:val="NoSpacing"/>
        <w:jc w:val="both"/>
        <w:rPr>
          <w:rFonts w:ascii="Century Gothic" w:hAnsi="Century Gothic" w:cs="Arial"/>
        </w:rPr>
      </w:pPr>
      <w:r w:rsidRPr="000A7C4A">
        <w:rPr>
          <w:rFonts w:ascii="Century Gothic" w:hAnsi="Century Gothic" w:cs="Arial"/>
        </w:rPr>
        <w:t xml:space="preserve">Only 6% of the sample pays taxes, mainly presumptive and import taxes. Women are more tax compliant and less likely to pay informal payments such as bribes. The study found that fees, licences, and permits impose a substantial ‘tax’ burden on informal operators. The different types of payment, when combined, are highly regressive across income quintiles. They disproportionately overburden women who are concentrated in the lowest-earning brackets. Payments in Masvingo are significantly lower than in Harare, both in absolute and relative terms, which suggests the importance of considering city-specific dynamics, which are often overlooked. The study notes that the inability of informal operators to meet exorbitant demands for multiple payments has led to bribes functioning as a catch-all payment. Monthly bribe payments across the eight business categories are substantial, are pocketed illegally by street-level officials, suggesting high levels of corruption. To the study, the </w:t>
      </w:r>
      <w:r w:rsidRPr="000A7C4A">
        <w:rPr>
          <w:rFonts w:ascii="Century Gothic" w:hAnsi="Century Gothic" w:cs="Arial"/>
        </w:rPr>
        <w:lastRenderedPageBreak/>
        <w:t xml:space="preserve">hustle and bustle of informal economic activities in central business districts does not necessarily indicate taxable income. </w:t>
      </w:r>
    </w:p>
    <w:p w14:paraId="4F59DC52" w14:textId="77777777" w:rsidR="00430DCE" w:rsidRPr="000A7C4A" w:rsidRDefault="00430DCE" w:rsidP="00430DCE">
      <w:pPr>
        <w:pStyle w:val="NoSpacing"/>
        <w:jc w:val="both"/>
        <w:rPr>
          <w:rFonts w:ascii="Century Gothic" w:hAnsi="Century Gothic" w:cs="Arial"/>
        </w:rPr>
      </w:pPr>
    </w:p>
    <w:p w14:paraId="459D6D8A" w14:textId="0B8F0147" w:rsidR="00430DCE" w:rsidRPr="000A7C4A" w:rsidRDefault="00430DCE" w:rsidP="00430DCE">
      <w:pPr>
        <w:pStyle w:val="NoSpacing"/>
        <w:jc w:val="both"/>
        <w:rPr>
          <w:rFonts w:ascii="Century Gothic" w:hAnsi="Century Gothic" w:cs="Arial"/>
        </w:rPr>
      </w:pPr>
      <w:r w:rsidRPr="000A7C4A">
        <w:rPr>
          <w:rFonts w:ascii="Century Gothic" w:hAnsi="Century Gothic" w:cs="Arial"/>
        </w:rPr>
        <w:t xml:space="preserve">Around 80% of informal traders are vulnerable subsistence operators, particularly in the visible informal sectors often targeted by taxing authorities. Important to help their businesses grow and become more profitable before taxing them. Urgent need for social protection for the majority in the sector. Situation is especially dire for women, who are disproportionately represented in the lowest earning brackets. There is need to consider sectoral and geographical dynamics. While simplified tax regimes (STRs) are attractive, however, they carry a risk of exacerbating inequality across sectors, cities, and gender. There is need for simplified targeting on income groups to avoid overburdening low-income earners since the informal economy is large, but pockets of taxable incomes are few. It is necessary to address capital-city/big-city bias to deal with significant dynamics in smaller cities, where tax and other payment levels are notably lower. </w:t>
      </w:r>
    </w:p>
    <w:p w14:paraId="14AB712D" w14:textId="43802D1C" w:rsidR="00430DCE" w:rsidRPr="000A7C4A" w:rsidRDefault="00430DCE" w:rsidP="00430DCE">
      <w:pPr>
        <w:pStyle w:val="NoSpacing"/>
        <w:jc w:val="both"/>
        <w:rPr>
          <w:rFonts w:ascii="Century Gothic" w:hAnsi="Century Gothic" w:cs="Arial"/>
        </w:rPr>
      </w:pPr>
    </w:p>
    <w:p w14:paraId="5FED822F" w14:textId="230C14CA" w:rsidR="00430DCE" w:rsidRPr="000A7C4A" w:rsidRDefault="00430DCE" w:rsidP="00430DCE">
      <w:pPr>
        <w:pStyle w:val="NoSpacing"/>
        <w:jc w:val="both"/>
        <w:rPr>
          <w:rFonts w:ascii="Century Gothic" w:hAnsi="Century Gothic" w:cs="Arial"/>
        </w:rPr>
      </w:pPr>
      <w:r w:rsidRPr="000A7C4A">
        <w:rPr>
          <w:rFonts w:ascii="Century Gothic" w:hAnsi="Century Gothic" w:cs="Arial"/>
        </w:rPr>
        <w:t xml:space="preserve">It is also necessary to have local tax regimes that are sensitive and responsive to local earning profiles and conditions. In addition, gender-responsive taxation is essential, especially on low-income earners in businesses predominantly run by women. </w:t>
      </w:r>
      <w:r w:rsidR="001B7D2E" w:rsidRPr="000A7C4A">
        <w:rPr>
          <w:rFonts w:ascii="Century Gothic" w:hAnsi="Century Gothic" w:cs="Arial"/>
        </w:rPr>
        <w:t>There is n</w:t>
      </w:r>
      <w:r w:rsidRPr="000A7C4A">
        <w:rPr>
          <w:rFonts w:ascii="Century Gothic" w:hAnsi="Century Gothic" w:cs="Arial"/>
        </w:rPr>
        <w:t>eed to streamline and reduce payment systems to simplify the tax and licensing system. Basic informal businesses face exorbitant permits and licences that are complex and time-consuming to comply with. For example, currently hair salons require at least three separate licences (for hair, make-up, and nail services). Reducing the number of licences, permits, and daily fees can cut the cost of doing business and reduce corruption. Informal traders often only become aware of regulations after their arrest, so they need to be educated, especially considering the literacy and digital skill gaps that exist in the sector which complicate the ability of informal traders to navigate tax, permits, and fee requirements.</w:t>
      </w:r>
    </w:p>
    <w:p w14:paraId="18F5EA4C" w14:textId="77777777" w:rsidR="00430DCE" w:rsidRPr="000A7C4A" w:rsidRDefault="00430DCE" w:rsidP="00430DCE">
      <w:pPr>
        <w:pStyle w:val="NoSpacing"/>
        <w:jc w:val="both"/>
        <w:rPr>
          <w:rFonts w:ascii="Century Gothic" w:hAnsi="Century Gothic" w:cs="Arial"/>
        </w:rPr>
      </w:pPr>
    </w:p>
    <w:p w14:paraId="675E02F6" w14:textId="5E51AF0A" w:rsidR="00430DCE" w:rsidRPr="000A7C4A" w:rsidRDefault="00430DCE" w:rsidP="00430DCE">
      <w:pPr>
        <w:pStyle w:val="NoSpacing"/>
        <w:jc w:val="both"/>
        <w:rPr>
          <w:rFonts w:ascii="Century Gothic" w:hAnsi="Century Gothic" w:cs="Arial"/>
        </w:rPr>
      </w:pPr>
      <w:r w:rsidRPr="000A7C4A">
        <w:rPr>
          <w:rFonts w:ascii="Century Gothic" w:hAnsi="Century Gothic" w:cs="Arial"/>
        </w:rPr>
        <w:t xml:space="preserve">A quid pro quo or service-first approach is crucial. Informal traders feel excluded from access to public services. They face a heavy burden from multiple payments – including bribes, which now function as a default tax pocketed by street-level officials – while receiving little to no public services in return. This dynamic has eroded public trust in both central and local governments and weakened tax morale, both of which are essential for building a strong fiscal contract and fostering robust state-society relations. In a modern tax system based largely on voluntary compliance and self-assessment, particularly for income tax (personal income and corporate income tax), Zimbabwe’s current tax and licensing regimes require urgent reforms to restore trust, fairness, and effectiveness. </w:t>
      </w:r>
    </w:p>
    <w:p w14:paraId="2A091DFA" w14:textId="77777777" w:rsidR="00430DCE" w:rsidRPr="000A7C4A" w:rsidRDefault="00430DCE" w:rsidP="00430DCE">
      <w:pPr>
        <w:pStyle w:val="NoSpacing"/>
        <w:jc w:val="both"/>
        <w:rPr>
          <w:rFonts w:ascii="Century Gothic" w:hAnsi="Century Gothic" w:cs="Arial"/>
        </w:rPr>
      </w:pPr>
    </w:p>
    <w:p w14:paraId="7AB47350" w14:textId="241F75DD" w:rsidR="004C0F55" w:rsidRPr="000A7C4A" w:rsidRDefault="001B7D2E" w:rsidP="003F4DB9">
      <w:pPr>
        <w:pStyle w:val="NoSpacing"/>
        <w:ind w:left="720" w:hanging="720"/>
        <w:jc w:val="both"/>
        <w:rPr>
          <w:rFonts w:ascii="Century Gothic" w:hAnsi="Century Gothic" w:cs="Arial"/>
        </w:rPr>
      </w:pPr>
      <w:r w:rsidRPr="000A7C4A">
        <w:rPr>
          <w:rFonts w:ascii="Century Gothic" w:hAnsi="Century Gothic" w:cs="Arial"/>
        </w:rPr>
        <w:t>3.11</w:t>
      </w:r>
      <w:r w:rsidRPr="000A7C4A">
        <w:rPr>
          <w:rFonts w:ascii="Century Gothic" w:hAnsi="Century Gothic" w:cs="Arial"/>
        </w:rPr>
        <w:tab/>
      </w:r>
      <w:r w:rsidR="003F4DB9" w:rsidRPr="000A7C4A">
        <w:rPr>
          <w:rFonts w:ascii="Century Gothic" w:hAnsi="Century Gothic" w:cs="Arial"/>
          <w:b/>
          <w:bCs/>
        </w:rPr>
        <w:t>Inadequate s</w:t>
      </w:r>
      <w:r w:rsidR="004C0F55" w:rsidRPr="000A7C4A">
        <w:rPr>
          <w:rFonts w:ascii="Century Gothic" w:hAnsi="Century Gothic" w:cs="Arial"/>
          <w:b/>
          <w:bCs/>
        </w:rPr>
        <w:t>ectoral allocations</w:t>
      </w:r>
      <w:r w:rsidR="00AC4C89" w:rsidRPr="000A7C4A">
        <w:rPr>
          <w:rFonts w:ascii="Century Gothic" w:hAnsi="Century Gothic" w:cs="Arial"/>
          <w:b/>
          <w:bCs/>
        </w:rPr>
        <w:t xml:space="preserve"> </w:t>
      </w:r>
      <w:r w:rsidR="003F4DB9" w:rsidRPr="000A7C4A">
        <w:rPr>
          <w:rFonts w:ascii="Century Gothic" w:hAnsi="Century Gothic" w:cs="Arial"/>
          <w:b/>
          <w:bCs/>
        </w:rPr>
        <w:t xml:space="preserve">for social development, </w:t>
      </w:r>
      <w:r w:rsidR="00AC4C89" w:rsidRPr="000A7C4A">
        <w:rPr>
          <w:rFonts w:ascii="Century Gothic" w:hAnsi="Century Gothic" w:cs="Arial"/>
          <w:b/>
          <w:bCs/>
        </w:rPr>
        <w:t>and crowding out effects o</w:t>
      </w:r>
      <w:r w:rsidRPr="000A7C4A">
        <w:rPr>
          <w:rFonts w:ascii="Century Gothic" w:hAnsi="Century Gothic" w:cs="Arial"/>
          <w:b/>
          <w:bCs/>
        </w:rPr>
        <w:t>n</w:t>
      </w:r>
      <w:r w:rsidR="00AC4C89" w:rsidRPr="000A7C4A">
        <w:rPr>
          <w:rFonts w:ascii="Century Gothic" w:hAnsi="Century Gothic" w:cs="Arial"/>
          <w:b/>
          <w:bCs/>
        </w:rPr>
        <w:t xml:space="preserve"> social expenditures</w:t>
      </w:r>
    </w:p>
    <w:p w14:paraId="2BFC677A" w14:textId="77777777" w:rsidR="001B7D2E" w:rsidRPr="000A7C4A" w:rsidRDefault="001B7D2E" w:rsidP="00430DCE">
      <w:pPr>
        <w:pStyle w:val="NoSpacing"/>
        <w:jc w:val="both"/>
        <w:rPr>
          <w:rFonts w:ascii="Century Gothic" w:hAnsi="Century Gothic" w:cs="Arial"/>
        </w:rPr>
      </w:pPr>
    </w:p>
    <w:p w14:paraId="7DFE7B5C" w14:textId="03821DDF" w:rsidR="001B7D2E" w:rsidRPr="000A7C4A" w:rsidRDefault="001B7D2E" w:rsidP="001B7D2E">
      <w:pPr>
        <w:pStyle w:val="NoSpacing"/>
        <w:jc w:val="both"/>
        <w:rPr>
          <w:rFonts w:ascii="Century Gothic" w:hAnsi="Century Gothic" w:cs="Arial"/>
        </w:rPr>
      </w:pPr>
      <w:r w:rsidRPr="000A7C4A">
        <w:rPr>
          <w:rFonts w:ascii="Century Gothic" w:hAnsi="Century Gothic" w:cs="Arial"/>
          <w:lang w:val="en-US"/>
        </w:rPr>
        <w:t xml:space="preserve">The recent World Bank Economic Update of 2 December 2025 found that the cost of servicing public debt is </w:t>
      </w:r>
      <w:r w:rsidR="003F4DB9" w:rsidRPr="000A7C4A">
        <w:rPr>
          <w:rFonts w:ascii="Century Gothic" w:hAnsi="Century Gothic" w:cs="Arial"/>
          <w:lang w:val="en-US"/>
        </w:rPr>
        <w:t>substantial and</w:t>
      </w:r>
      <w:r w:rsidRPr="000A7C4A">
        <w:rPr>
          <w:rFonts w:ascii="Century Gothic" w:hAnsi="Century Gothic" w:cs="Arial"/>
          <w:lang w:val="en-US"/>
        </w:rPr>
        <w:t xml:space="preserve"> is crowding out financing for social services. The World Bank estimates suggest debt servicing (principal and interest) adds up to US$ 524 million between January and June 2025 – driven by external debt (US$ 176 million) and domestic debt (US$348 million).  As a share of total expenditure and net lending between January to June 2025, debt servicing (14%) exceeds spending on primary and secondary education (13%), agriculture (10%), and health (7%), crowding out space for social services. </w:t>
      </w:r>
    </w:p>
    <w:p w14:paraId="5B5D5AED" w14:textId="77777777" w:rsidR="001B7D2E" w:rsidRPr="000A7C4A" w:rsidRDefault="001B7D2E" w:rsidP="00430DCE">
      <w:pPr>
        <w:pStyle w:val="NoSpacing"/>
        <w:jc w:val="both"/>
        <w:rPr>
          <w:rFonts w:ascii="Century Gothic" w:hAnsi="Century Gothic" w:cs="Arial"/>
        </w:rPr>
      </w:pPr>
    </w:p>
    <w:p w14:paraId="47529114" w14:textId="01989884" w:rsidR="003F4DB9" w:rsidRPr="000A7C4A" w:rsidRDefault="001B7D2E" w:rsidP="003F4DB9">
      <w:pPr>
        <w:pStyle w:val="NoSpacing"/>
        <w:jc w:val="both"/>
        <w:rPr>
          <w:rFonts w:ascii="Century Gothic" w:hAnsi="Century Gothic" w:cs="Arial"/>
          <w:lang w:val="en-GB"/>
        </w:rPr>
      </w:pPr>
      <w:r w:rsidRPr="000A7C4A">
        <w:rPr>
          <w:rFonts w:ascii="Century Gothic" w:hAnsi="Century Gothic" w:cs="Arial"/>
        </w:rPr>
        <w:t xml:space="preserve">Clearly, key sectoral allocations in the 2026 National Budget fall short of regional benchmarks and obligations Zimbabwe acceded to. For example, allocation for health at 9.7% of the budget, is below the 15% Abuja Declaration target, 15.2% for education, is below the Dakar Declaration target of 20%, 8.6% for agriculture is below the 10% in the Maputo Agreement, the 1% of GDP for social protection is below the </w:t>
      </w:r>
      <w:r w:rsidR="003F4DB9" w:rsidRPr="000A7C4A">
        <w:rPr>
          <w:rFonts w:ascii="Century Gothic" w:hAnsi="Century Gothic" w:cs="Arial"/>
        </w:rPr>
        <w:t xml:space="preserve">4.5% of GDP target in the </w:t>
      </w:r>
      <w:r w:rsidR="003F4DB9" w:rsidRPr="000A7C4A">
        <w:rPr>
          <w:rFonts w:ascii="Century Gothic" w:hAnsi="Century Gothic" w:cs="Arial"/>
          <w:lang w:val="en-GB"/>
        </w:rPr>
        <w:t>Social Policy for Africa (2008), the 0.1% of GDP for water and sanitation is below the 1.5% of GDP required in the eThekwini Declaration (2008), the 2.4% allocation for infrastructure is below the target of 9.6% of GDP in the African Union Declaration (2009).</w:t>
      </w:r>
    </w:p>
    <w:p w14:paraId="16BAF117" w14:textId="77777777" w:rsidR="003F4DB9" w:rsidRPr="000A7C4A" w:rsidRDefault="003F4DB9" w:rsidP="003F4DB9">
      <w:pPr>
        <w:pStyle w:val="NoSpacing"/>
        <w:jc w:val="both"/>
        <w:rPr>
          <w:rFonts w:ascii="Century Gothic" w:hAnsi="Century Gothic" w:cs="Arial"/>
          <w:lang w:val="en-GB"/>
        </w:rPr>
      </w:pPr>
    </w:p>
    <w:p w14:paraId="00C68C5B" w14:textId="2C7157FE" w:rsidR="003F4DB9" w:rsidRPr="000A7C4A" w:rsidRDefault="003F4DB9" w:rsidP="003F4DB9">
      <w:pPr>
        <w:pStyle w:val="NoSpacing"/>
        <w:jc w:val="both"/>
        <w:rPr>
          <w:rFonts w:ascii="Century Gothic" w:hAnsi="Century Gothic" w:cs="Arial"/>
          <w:lang w:val="en-GB"/>
        </w:rPr>
      </w:pPr>
      <w:r w:rsidRPr="000A7C4A">
        <w:rPr>
          <w:rFonts w:ascii="Century Gothic" w:hAnsi="Century Gothic" w:cs="Arial"/>
          <w:lang w:val="en-GB"/>
        </w:rPr>
        <w:t>4.0</w:t>
      </w:r>
      <w:r w:rsidRPr="000A7C4A">
        <w:rPr>
          <w:rFonts w:ascii="Century Gothic" w:hAnsi="Century Gothic" w:cs="Arial"/>
          <w:lang w:val="en-GB"/>
        </w:rPr>
        <w:tab/>
      </w:r>
      <w:r w:rsidRPr="000A7C4A">
        <w:rPr>
          <w:rFonts w:ascii="Century Gothic" w:hAnsi="Century Gothic" w:cs="Arial"/>
          <w:b/>
          <w:bCs/>
          <w:lang w:val="en-GB"/>
        </w:rPr>
        <w:t>Conclusion</w:t>
      </w:r>
    </w:p>
    <w:p w14:paraId="5872D10E" w14:textId="77777777" w:rsidR="003F4DB9" w:rsidRPr="000A7C4A" w:rsidRDefault="003F4DB9" w:rsidP="003F4DB9">
      <w:pPr>
        <w:pStyle w:val="NoSpacing"/>
        <w:jc w:val="both"/>
        <w:rPr>
          <w:rFonts w:ascii="Century Gothic" w:hAnsi="Century Gothic" w:cs="Arial"/>
          <w:lang w:val="en-GB"/>
        </w:rPr>
      </w:pPr>
    </w:p>
    <w:p w14:paraId="76055E8F" w14:textId="1E2DE2E2" w:rsidR="003A30B4" w:rsidRPr="000A7C4A" w:rsidRDefault="009371C5" w:rsidP="009371C5">
      <w:pPr>
        <w:pStyle w:val="NoSpacing"/>
        <w:jc w:val="both"/>
        <w:rPr>
          <w:rFonts w:ascii="Century Gothic" w:hAnsi="Century Gothic" w:cs="Arial"/>
          <w:i/>
          <w:iCs/>
        </w:rPr>
      </w:pPr>
      <w:r w:rsidRPr="000A7C4A">
        <w:rPr>
          <w:rFonts w:ascii="Century Gothic" w:hAnsi="Century Gothic" w:cs="Arial"/>
          <w:lang w:val="en-GB"/>
        </w:rPr>
        <w:t xml:space="preserve">As ZCTU, we firmly believe that taxation and revenue mobilization should begin with the God-given natural resources. Countries like Norway, </w:t>
      </w:r>
      <w:r w:rsidR="003A30B4" w:rsidRPr="000A7C4A">
        <w:rPr>
          <w:rFonts w:ascii="Century Gothic" w:hAnsi="Century Gothic" w:cs="Arial"/>
          <w:lang w:val="en-GB"/>
        </w:rPr>
        <w:t xml:space="preserve">Sweden, Botswana </w:t>
      </w:r>
      <w:r w:rsidRPr="000A7C4A">
        <w:rPr>
          <w:rFonts w:ascii="Century Gothic" w:hAnsi="Century Gothic" w:cs="Arial"/>
          <w:lang w:val="en-GB"/>
        </w:rPr>
        <w:t xml:space="preserve">and the Middle East that have drawn </w:t>
      </w:r>
      <w:r w:rsidR="003A30B4" w:rsidRPr="000A7C4A">
        <w:rPr>
          <w:rFonts w:ascii="Century Gothic" w:hAnsi="Century Gothic" w:cs="Arial"/>
          <w:lang w:val="en-GB"/>
        </w:rPr>
        <w:t>from their natural resource base have achieved amazing levels of resource mobilization and development, in a relatively short period of time. As a country, Zimbabwe is well endowed with over 40 different mineral resources from which resource mobilization should begin. We need as a country to take heed of the advice from the World Bank Commission on Growth and Development which noted as follows for countries</w:t>
      </w:r>
      <w:r w:rsidRPr="000A7C4A">
        <w:rPr>
          <w:rFonts w:ascii="Century Gothic" w:hAnsi="Century Gothic" w:cs="Arial"/>
        </w:rPr>
        <w:t xml:space="preserve"> rich in natural resources: </w:t>
      </w:r>
    </w:p>
    <w:p w14:paraId="7D1891ED" w14:textId="77777777" w:rsidR="003A30B4" w:rsidRPr="000A7C4A" w:rsidRDefault="003A30B4" w:rsidP="009371C5">
      <w:pPr>
        <w:pStyle w:val="NoSpacing"/>
        <w:jc w:val="both"/>
        <w:rPr>
          <w:rFonts w:ascii="Century Gothic" w:hAnsi="Century Gothic" w:cs="Arial"/>
        </w:rPr>
      </w:pPr>
    </w:p>
    <w:p w14:paraId="4CB85BDF" w14:textId="781B36D8" w:rsidR="003F4DB9" w:rsidRPr="000A7C4A" w:rsidRDefault="003A30B4" w:rsidP="009371C5">
      <w:pPr>
        <w:pStyle w:val="NoSpacing"/>
        <w:jc w:val="both"/>
        <w:rPr>
          <w:rFonts w:ascii="Century Gothic" w:hAnsi="Century Gothic" w:cs="Arial"/>
        </w:rPr>
      </w:pPr>
      <w:r w:rsidRPr="000A7C4A">
        <w:rPr>
          <w:rFonts w:ascii="Century Gothic" w:hAnsi="Century Gothic" w:cs="Arial"/>
        </w:rPr>
        <w:t>“</w:t>
      </w:r>
      <w:r w:rsidR="009371C5" w:rsidRPr="000A7C4A">
        <w:rPr>
          <w:rFonts w:ascii="Century Gothic" w:hAnsi="Century Gothic" w:cs="Arial"/>
        </w:rPr>
        <w:t>Economies blessed with abundant</w:t>
      </w:r>
      <w:r w:rsidRPr="000A7C4A">
        <w:rPr>
          <w:rFonts w:ascii="Century Gothic" w:hAnsi="Century Gothic" w:cs="Arial"/>
        </w:rPr>
        <w:t xml:space="preserve"> </w:t>
      </w:r>
      <w:r w:rsidR="009371C5" w:rsidRPr="000A7C4A">
        <w:rPr>
          <w:rFonts w:ascii="Century Gothic" w:hAnsi="Century Gothic" w:cs="Arial"/>
        </w:rPr>
        <w:t>oil, minerals, or other natural resources should be able to invest the</w:t>
      </w:r>
      <w:r w:rsidRPr="000A7C4A">
        <w:rPr>
          <w:rFonts w:ascii="Century Gothic" w:hAnsi="Century Gothic" w:cs="Arial"/>
        </w:rPr>
        <w:t xml:space="preserve"> </w:t>
      </w:r>
      <w:r w:rsidR="009371C5" w:rsidRPr="000A7C4A">
        <w:rPr>
          <w:rFonts w:ascii="Century Gothic" w:hAnsi="Century Gothic" w:cs="Arial"/>
        </w:rPr>
        <w:t>“rents” or proceeds at home, raising their growth potential</w:t>
      </w:r>
      <w:r w:rsidR="009371C5" w:rsidRPr="000A7C4A">
        <w:rPr>
          <w:rFonts w:ascii="Century Gothic" w:hAnsi="Century Gothic" w:cs="Arial"/>
          <w:i/>
          <w:iCs/>
        </w:rPr>
        <w:t xml:space="preserve">. </w:t>
      </w:r>
      <w:r w:rsidR="009371C5" w:rsidRPr="000A7C4A">
        <w:rPr>
          <w:rFonts w:ascii="Century Gothic" w:hAnsi="Century Gothic" w:cs="Arial"/>
        </w:rPr>
        <w:t>But the</w:t>
      </w:r>
      <w:r w:rsidRPr="000A7C4A">
        <w:rPr>
          <w:rFonts w:ascii="Century Gothic" w:hAnsi="Century Gothic" w:cs="Arial"/>
        </w:rPr>
        <w:t xml:space="preserve"> </w:t>
      </w:r>
      <w:r w:rsidR="009371C5" w:rsidRPr="000A7C4A">
        <w:rPr>
          <w:rFonts w:ascii="Century Gothic" w:hAnsi="Century Gothic" w:cs="Arial"/>
        </w:rPr>
        <w:t>historical experience has most often been the reverse. The pitfalls are</w:t>
      </w:r>
      <w:r w:rsidRPr="000A7C4A">
        <w:rPr>
          <w:rFonts w:ascii="Century Gothic" w:hAnsi="Century Gothic" w:cs="Arial"/>
        </w:rPr>
        <w:t xml:space="preserve"> </w:t>
      </w:r>
      <w:r w:rsidR="009371C5" w:rsidRPr="000A7C4A">
        <w:rPr>
          <w:rFonts w:ascii="Century Gothic" w:hAnsi="Century Gothic" w:cs="Arial"/>
        </w:rPr>
        <w:t>well known. Sometimes the state sells extraction rights too cheaply or</w:t>
      </w:r>
      <w:r w:rsidRPr="000A7C4A">
        <w:rPr>
          <w:rFonts w:ascii="Century Gothic" w:hAnsi="Century Gothic" w:cs="Arial"/>
        </w:rPr>
        <w:t xml:space="preserve"> </w:t>
      </w:r>
      <w:r w:rsidR="009371C5" w:rsidRPr="000A7C4A">
        <w:rPr>
          <w:rFonts w:ascii="Century Gothic" w:hAnsi="Century Gothic" w:cs="Arial"/>
        </w:rPr>
        <w:t>taxes resource revenues too lightly. Sometimes the money it raises is stolen</w:t>
      </w:r>
      <w:r w:rsidRPr="000A7C4A">
        <w:rPr>
          <w:rFonts w:ascii="Century Gothic" w:hAnsi="Century Gothic" w:cs="Arial"/>
        </w:rPr>
        <w:t xml:space="preserve"> </w:t>
      </w:r>
      <w:r w:rsidR="009371C5" w:rsidRPr="000A7C4A">
        <w:rPr>
          <w:rFonts w:ascii="Century Gothic" w:hAnsi="Century Gothic" w:cs="Arial"/>
        </w:rPr>
        <w:t>or squandered by rent-seeking elites and vested interests. When the money is invested, it is not always invested wisely or transparently. And</w:t>
      </w:r>
      <w:r w:rsidRPr="000A7C4A">
        <w:rPr>
          <w:rFonts w:ascii="Century Gothic" w:hAnsi="Century Gothic" w:cs="Arial"/>
        </w:rPr>
        <w:t xml:space="preserve"> </w:t>
      </w:r>
      <w:r w:rsidR="009371C5" w:rsidRPr="000A7C4A">
        <w:rPr>
          <w:rFonts w:ascii="Century Gothic" w:hAnsi="Century Gothic" w:cs="Arial"/>
        </w:rPr>
        <w:t>by providing a ready source of foreign-exchange, natural resources can</w:t>
      </w:r>
      <w:r w:rsidRPr="000A7C4A">
        <w:rPr>
          <w:rFonts w:ascii="Century Gothic" w:hAnsi="Century Gothic" w:cs="Arial"/>
        </w:rPr>
        <w:t xml:space="preserve"> </w:t>
      </w:r>
      <w:r w:rsidR="009371C5" w:rsidRPr="000A7C4A">
        <w:rPr>
          <w:rFonts w:ascii="Century Gothic" w:hAnsi="Century Gothic" w:cs="Arial"/>
        </w:rPr>
        <w:t>also reduce incentives for diversifying exports, a predicament known</w:t>
      </w:r>
      <w:r w:rsidRPr="000A7C4A">
        <w:rPr>
          <w:rFonts w:ascii="Century Gothic" w:hAnsi="Century Gothic" w:cs="Arial"/>
        </w:rPr>
        <w:t xml:space="preserve"> </w:t>
      </w:r>
      <w:r w:rsidR="009371C5" w:rsidRPr="000A7C4A">
        <w:rPr>
          <w:rFonts w:ascii="Century Gothic" w:hAnsi="Century Gothic" w:cs="Arial"/>
        </w:rPr>
        <w:t>as “Dutch disease.” States will improve on this sorry historical record</w:t>
      </w:r>
      <w:r w:rsidRPr="000A7C4A">
        <w:rPr>
          <w:rFonts w:ascii="Century Gothic" w:hAnsi="Century Gothic" w:cs="Arial"/>
        </w:rPr>
        <w:t xml:space="preserve"> </w:t>
      </w:r>
      <w:r w:rsidR="009371C5" w:rsidRPr="000A7C4A">
        <w:rPr>
          <w:rFonts w:ascii="Century Gothic" w:hAnsi="Century Gothic" w:cs="Arial"/>
        </w:rPr>
        <w:t>only if they capture an appropriate share of the resource rents; save a</w:t>
      </w:r>
      <w:r w:rsidRPr="000A7C4A">
        <w:rPr>
          <w:rFonts w:ascii="Century Gothic" w:hAnsi="Century Gothic" w:cs="Arial"/>
        </w:rPr>
        <w:t xml:space="preserve"> </w:t>
      </w:r>
      <w:r w:rsidR="009371C5" w:rsidRPr="000A7C4A">
        <w:rPr>
          <w:rFonts w:ascii="Century Gothic" w:hAnsi="Century Gothic" w:cs="Arial"/>
        </w:rPr>
        <w:t>judicious amount overseas; and set clear, growth-oriented priorities for</w:t>
      </w:r>
      <w:r w:rsidRPr="000A7C4A">
        <w:rPr>
          <w:rFonts w:ascii="Century Gothic" w:hAnsi="Century Gothic" w:cs="Arial"/>
        </w:rPr>
        <w:t xml:space="preserve"> </w:t>
      </w:r>
      <w:r w:rsidR="009371C5" w:rsidRPr="000A7C4A">
        <w:rPr>
          <w:rFonts w:ascii="Century Gothic" w:hAnsi="Century Gothic" w:cs="Arial"/>
        </w:rPr>
        <w:t>absorbing the remainder at home,” (</w:t>
      </w:r>
      <w:r w:rsidRPr="000A7C4A">
        <w:rPr>
          <w:rFonts w:ascii="Century Gothic" w:hAnsi="Century Gothic" w:cs="Arial"/>
        </w:rPr>
        <w:t xml:space="preserve">2008, </w:t>
      </w:r>
      <w:r w:rsidR="009371C5" w:rsidRPr="000A7C4A">
        <w:rPr>
          <w:rFonts w:ascii="Century Gothic" w:hAnsi="Century Gothic" w:cs="Arial"/>
        </w:rPr>
        <w:t>pages 8-9).</w:t>
      </w:r>
    </w:p>
    <w:p w14:paraId="2139550A" w14:textId="459486A1" w:rsidR="003F4DB9" w:rsidRPr="000A7C4A" w:rsidRDefault="003F4DB9" w:rsidP="003F4DB9">
      <w:pPr>
        <w:pStyle w:val="NoSpacing"/>
        <w:jc w:val="both"/>
        <w:rPr>
          <w:rFonts w:ascii="Century Gothic" w:hAnsi="Century Gothic" w:cs="Arial"/>
        </w:rPr>
      </w:pPr>
    </w:p>
    <w:p w14:paraId="6752B6CD" w14:textId="2F801F93" w:rsidR="003F4DB9" w:rsidRPr="000A7C4A" w:rsidRDefault="003F4DB9" w:rsidP="003F4DB9">
      <w:pPr>
        <w:pStyle w:val="NoSpacing"/>
        <w:jc w:val="both"/>
        <w:rPr>
          <w:rFonts w:ascii="Century Gothic" w:hAnsi="Century Gothic" w:cs="Arial"/>
        </w:rPr>
      </w:pPr>
    </w:p>
    <w:p w14:paraId="237D85D4" w14:textId="6B3BB7A7" w:rsidR="001B7D2E" w:rsidRPr="000A7C4A" w:rsidRDefault="001B7D2E" w:rsidP="00430DCE">
      <w:pPr>
        <w:pStyle w:val="NoSpacing"/>
        <w:jc w:val="both"/>
        <w:rPr>
          <w:rFonts w:ascii="Century Gothic" w:hAnsi="Century Gothic" w:cs="Arial"/>
        </w:rPr>
      </w:pPr>
    </w:p>
    <w:p w14:paraId="7C21054F" w14:textId="77777777" w:rsidR="000A7C4A" w:rsidRPr="000A7C4A" w:rsidRDefault="000A7C4A" w:rsidP="00430DCE">
      <w:pPr>
        <w:pStyle w:val="NoSpacing"/>
        <w:jc w:val="both"/>
        <w:rPr>
          <w:rFonts w:ascii="Century Gothic" w:hAnsi="Century Gothic" w:cs="Arial"/>
        </w:rPr>
      </w:pPr>
    </w:p>
    <w:p w14:paraId="65A46BFB" w14:textId="77777777" w:rsidR="000A7C4A" w:rsidRPr="000A7C4A" w:rsidRDefault="000A7C4A" w:rsidP="00430DCE">
      <w:pPr>
        <w:pStyle w:val="NoSpacing"/>
        <w:jc w:val="both"/>
        <w:rPr>
          <w:rFonts w:ascii="Century Gothic" w:hAnsi="Century Gothic" w:cs="Arial"/>
        </w:rPr>
      </w:pPr>
    </w:p>
    <w:p w14:paraId="6FCF65D4" w14:textId="5472F9AB" w:rsidR="000A7C4A" w:rsidRPr="000A7C4A" w:rsidRDefault="000A7C4A" w:rsidP="00430DCE">
      <w:pPr>
        <w:pStyle w:val="NoSpacing"/>
        <w:jc w:val="both"/>
        <w:rPr>
          <w:rFonts w:ascii="Century Gothic" w:hAnsi="Century Gothic" w:cs="Arial"/>
        </w:rPr>
      </w:pPr>
      <w:r w:rsidRPr="000A7C4A">
        <w:rPr>
          <w:rFonts w:ascii="Century Gothic" w:hAnsi="Century Gothic" w:cs="Arial"/>
        </w:rPr>
        <w:t>T</w:t>
      </w:r>
      <w:r w:rsidR="00DE0B13">
        <w:rPr>
          <w:rFonts w:ascii="Century Gothic" w:hAnsi="Century Gothic" w:cs="Arial"/>
        </w:rPr>
        <w:t>i</w:t>
      </w:r>
      <w:r w:rsidRPr="000A7C4A">
        <w:rPr>
          <w:rFonts w:ascii="Century Gothic" w:hAnsi="Century Gothic" w:cs="Arial"/>
        </w:rPr>
        <w:t>rivanhu Marimo</w:t>
      </w:r>
    </w:p>
    <w:p w14:paraId="4D96CC71" w14:textId="7E61770C" w:rsidR="000A7C4A" w:rsidRDefault="000A7C4A" w:rsidP="00430DCE">
      <w:pPr>
        <w:pStyle w:val="NoSpacing"/>
        <w:jc w:val="both"/>
        <w:rPr>
          <w:rFonts w:ascii="Century Gothic" w:hAnsi="Century Gothic" w:cs="Arial"/>
          <w:b/>
          <w:u w:val="single"/>
        </w:rPr>
      </w:pPr>
      <w:r w:rsidRPr="000A7C4A">
        <w:rPr>
          <w:rFonts w:ascii="Century Gothic" w:hAnsi="Century Gothic" w:cs="Arial"/>
          <w:b/>
          <w:u w:val="single"/>
        </w:rPr>
        <w:t xml:space="preserve">SECRETARY GENERAL </w:t>
      </w:r>
    </w:p>
    <w:p w14:paraId="287F428E" w14:textId="50782C59" w:rsidR="00DE0B13" w:rsidRPr="00DE0B13" w:rsidRDefault="00DE0B13" w:rsidP="00430DCE">
      <w:pPr>
        <w:pStyle w:val="NoSpacing"/>
        <w:jc w:val="both"/>
        <w:rPr>
          <w:rFonts w:ascii="Century Gothic" w:hAnsi="Century Gothic" w:cs="Arial"/>
          <w:b/>
          <w:i/>
        </w:rPr>
      </w:pPr>
      <w:r w:rsidRPr="00DE0B13">
        <w:rPr>
          <w:rFonts w:ascii="Century Gothic" w:hAnsi="Century Gothic" w:cs="Arial"/>
          <w:b/>
          <w:i/>
        </w:rPr>
        <w:t>16 December 2025</w:t>
      </w:r>
    </w:p>
    <w:sectPr w:rsidR="00DE0B13" w:rsidRPr="00DE0B1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8F498" w14:textId="77777777" w:rsidR="00B03C26" w:rsidRDefault="00B03C26" w:rsidP="007B367E">
      <w:pPr>
        <w:spacing w:after="0" w:line="240" w:lineRule="auto"/>
      </w:pPr>
      <w:r>
        <w:separator/>
      </w:r>
    </w:p>
  </w:endnote>
  <w:endnote w:type="continuationSeparator" w:id="0">
    <w:p w14:paraId="72CF214A" w14:textId="77777777" w:rsidR="00B03C26" w:rsidRDefault="00B03C26" w:rsidP="007B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74090"/>
      <w:docPartObj>
        <w:docPartGallery w:val="Page Numbers (Bottom of Page)"/>
        <w:docPartUnique/>
      </w:docPartObj>
    </w:sdtPr>
    <w:sdtEndPr>
      <w:rPr>
        <w:noProof/>
      </w:rPr>
    </w:sdtEndPr>
    <w:sdtContent>
      <w:p w14:paraId="7A081935" w14:textId="36194D7E" w:rsidR="007B367E" w:rsidRDefault="007B367E">
        <w:pPr>
          <w:pStyle w:val="Footer"/>
          <w:jc w:val="center"/>
        </w:pPr>
        <w:r>
          <w:fldChar w:fldCharType="begin"/>
        </w:r>
        <w:r>
          <w:instrText xml:space="preserve"> PAGE   \* MERGEFORMAT </w:instrText>
        </w:r>
        <w:r>
          <w:fldChar w:fldCharType="separate"/>
        </w:r>
        <w:r w:rsidR="00810881">
          <w:rPr>
            <w:noProof/>
          </w:rPr>
          <w:t>2</w:t>
        </w:r>
        <w:r>
          <w:rPr>
            <w:noProof/>
          </w:rPr>
          <w:fldChar w:fldCharType="end"/>
        </w:r>
      </w:p>
    </w:sdtContent>
  </w:sdt>
  <w:p w14:paraId="4D499EC8" w14:textId="77777777" w:rsidR="007B367E" w:rsidRDefault="007B36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2CDD6" w14:textId="77777777" w:rsidR="00B03C26" w:rsidRDefault="00B03C26" w:rsidP="007B367E">
      <w:pPr>
        <w:spacing w:after="0" w:line="240" w:lineRule="auto"/>
      </w:pPr>
      <w:r>
        <w:separator/>
      </w:r>
    </w:p>
  </w:footnote>
  <w:footnote w:type="continuationSeparator" w:id="0">
    <w:p w14:paraId="760F5376" w14:textId="77777777" w:rsidR="00B03C26" w:rsidRDefault="00B03C26" w:rsidP="007B367E">
      <w:pPr>
        <w:spacing w:after="0" w:line="240" w:lineRule="auto"/>
      </w:pPr>
      <w:r>
        <w:continuationSeparator/>
      </w:r>
    </w:p>
  </w:footnote>
  <w:footnote w:id="1">
    <w:p w14:paraId="6AC38D40" w14:textId="76547007" w:rsidR="00B82676" w:rsidRPr="00B82676" w:rsidRDefault="00B82676" w:rsidP="00B82676">
      <w:pPr>
        <w:pStyle w:val="FootnoteText"/>
      </w:pPr>
      <w:r>
        <w:rPr>
          <w:rStyle w:val="FootnoteReference"/>
        </w:rPr>
        <w:footnoteRef/>
      </w:r>
      <w:r>
        <w:t xml:space="preserve"> In this framing, m</w:t>
      </w:r>
      <w:r w:rsidRPr="00B82676">
        <w:rPr>
          <w:lang w:val="en-US"/>
        </w:rPr>
        <w:t>acroeconomic stability implie</w:t>
      </w:r>
      <w:r>
        <w:rPr>
          <w:lang w:val="en-US"/>
        </w:rPr>
        <w:t>s</w:t>
      </w:r>
      <w:r w:rsidRPr="00B82676">
        <w:rPr>
          <w:lang w:val="en-US"/>
        </w:rPr>
        <w:t xml:space="preserve"> a</w:t>
      </w:r>
      <w:r w:rsidRPr="00B82676">
        <w:rPr>
          <w:b/>
          <w:bCs/>
          <w:lang w:val="en-US"/>
        </w:rPr>
        <w:t xml:space="preserve"> </w:t>
      </w:r>
      <w:r w:rsidRPr="00B82676">
        <w:rPr>
          <w:lang w:val="en-US"/>
        </w:rPr>
        <w:t>single digit inflation, low budget deficits and sustainable debt position (60% of GDP).</w:t>
      </w:r>
    </w:p>
    <w:p w14:paraId="1F0E958D" w14:textId="6B0EB5DA" w:rsidR="00B82676" w:rsidRPr="00B82676" w:rsidRDefault="00B82676">
      <w:pPr>
        <w:pStyle w:val="FootnoteText"/>
        <w:rPr>
          <w:lang w:val="en-US"/>
        </w:rPr>
      </w:pPr>
    </w:p>
  </w:footnote>
  <w:footnote w:id="2">
    <w:p w14:paraId="18CB2CE2" w14:textId="12432607" w:rsidR="00E940BA" w:rsidRPr="00E940BA" w:rsidRDefault="00E940BA" w:rsidP="00E940BA">
      <w:pPr>
        <w:pStyle w:val="FootnoteText"/>
      </w:pPr>
      <w:r>
        <w:rPr>
          <w:rStyle w:val="FootnoteReference"/>
        </w:rPr>
        <w:footnoteRef/>
      </w:r>
      <w:r>
        <w:t xml:space="preserve"> See for instance </w:t>
      </w:r>
      <w:r w:rsidRPr="00E940BA">
        <w:rPr>
          <w:lang w:val="en-GB"/>
        </w:rPr>
        <w:t xml:space="preserve">Dabla-Norris, E., K. Kochhar, N. Suphaphiphat, F. Ricka, and E. Tsounta, (2015). </w:t>
      </w:r>
      <w:r w:rsidRPr="00E940BA">
        <w:rPr>
          <w:b/>
          <w:bCs/>
          <w:lang w:val="en-GB"/>
        </w:rPr>
        <w:t xml:space="preserve">Causes and Consequences of Income Inequality: A Global Perspective, </w:t>
      </w:r>
      <w:r w:rsidRPr="00E940BA">
        <w:rPr>
          <w:lang w:val="en-GB"/>
        </w:rPr>
        <w:t>IMF Discussion Note, June, IMF.</w:t>
      </w:r>
    </w:p>
    <w:p w14:paraId="06749F27" w14:textId="45859EBC" w:rsidR="00E940BA" w:rsidRPr="00E940BA" w:rsidRDefault="00E940BA">
      <w:pPr>
        <w:pStyle w:val="FootnoteText"/>
        <w:rPr>
          <w:lang w:val="en-US"/>
        </w:rPr>
      </w:pPr>
    </w:p>
  </w:footnote>
  <w:footnote w:id="3">
    <w:p w14:paraId="0CFC4692" w14:textId="3E23D20F" w:rsidR="00C90D82" w:rsidRPr="00C90D82" w:rsidRDefault="00C90D82" w:rsidP="00C90D82">
      <w:pPr>
        <w:pStyle w:val="NoSpacing"/>
        <w:rPr>
          <w:rFonts w:ascii="Arial" w:hAnsi="Arial" w:cs="Arial"/>
          <w:sz w:val="20"/>
          <w:szCs w:val="20"/>
        </w:rPr>
      </w:pPr>
      <w:r w:rsidRPr="00C90D82">
        <w:rPr>
          <w:rStyle w:val="FootnoteReference"/>
          <w:rFonts w:ascii="Arial" w:hAnsi="Arial" w:cs="Arial"/>
          <w:sz w:val="20"/>
          <w:szCs w:val="20"/>
        </w:rPr>
        <w:footnoteRef/>
      </w:r>
      <w:r w:rsidRPr="00C90D82">
        <w:rPr>
          <w:rFonts w:ascii="Arial" w:hAnsi="Arial" w:cs="Arial"/>
          <w:sz w:val="20"/>
          <w:szCs w:val="20"/>
        </w:rPr>
        <w:t xml:space="preserve"> See Zhang, Ying, &amp; Li, Xiangwei, &amp; Zhang, Yutian (2015) "</w:t>
      </w:r>
      <w:hyperlink r:id="rId1" w:history="1">
        <w:r w:rsidRPr="00C90D82">
          <w:rPr>
            <w:rFonts w:ascii="Arial" w:hAnsi="Arial" w:cs="Arial"/>
            <w:sz w:val="20"/>
            <w:szCs w:val="20"/>
          </w:rPr>
          <w:t>Pro-employment budgeting in China: linking employment to national and local budgets</w:t>
        </w:r>
      </w:hyperlink>
      <w:r w:rsidRPr="00C90D82">
        <w:rPr>
          <w:rFonts w:ascii="Arial" w:hAnsi="Arial" w:cs="Arial"/>
          <w:sz w:val="20"/>
          <w:szCs w:val="20"/>
        </w:rPr>
        <w:t>," </w:t>
      </w:r>
      <w:hyperlink r:id="rId2" w:history="1">
        <w:r w:rsidRPr="00C90D82">
          <w:rPr>
            <w:rFonts w:ascii="Arial" w:hAnsi="Arial" w:cs="Arial"/>
            <w:sz w:val="20"/>
            <w:szCs w:val="20"/>
          </w:rPr>
          <w:t>ILO Working Papers</w:t>
        </w:r>
      </w:hyperlink>
      <w:r w:rsidRPr="00C90D82">
        <w:rPr>
          <w:rFonts w:ascii="Arial" w:hAnsi="Arial" w:cs="Arial"/>
          <w:sz w:val="20"/>
          <w:szCs w:val="20"/>
        </w:rPr>
        <w:t> 994875803402676, International Labour Organization.</w:t>
      </w:r>
    </w:p>
    <w:p w14:paraId="672177D3" w14:textId="452C176B" w:rsidR="00C90D82" w:rsidRPr="00C90D82" w:rsidRDefault="00C90D82" w:rsidP="00C90D82">
      <w:pPr>
        <w:pStyle w:val="NoSpacing"/>
        <w:rPr>
          <w:rFonts w:ascii="Arial" w:hAnsi="Arial" w:cs="Arial"/>
          <w:sz w:val="20"/>
          <w:szCs w:val="20"/>
          <w:lang w:val="en-US"/>
        </w:rPr>
      </w:pPr>
    </w:p>
  </w:footnote>
  <w:footnote w:id="4">
    <w:p w14:paraId="05ADE23B" w14:textId="77777777" w:rsidR="0009009E" w:rsidRPr="0009009E" w:rsidRDefault="0009009E" w:rsidP="0009009E">
      <w:pPr>
        <w:pStyle w:val="NoSpacing"/>
        <w:jc w:val="both"/>
        <w:rPr>
          <w:rFonts w:ascii="Arial" w:hAnsi="Arial" w:cs="Arial"/>
          <w:sz w:val="20"/>
          <w:szCs w:val="20"/>
        </w:rPr>
      </w:pPr>
      <w:r w:rsidRPr="0009009E">
        <w:rPr>
          <w:rStyle w:val="FootnoteReference"/>
          <w:rFonts w:ascii="Arial" w:hAnsi="Arial" w:cs="Arial"/>
          <w:sz w:val="20"/>
          <w:szCs w:val="20"/>
        </w:rPr>
        <w:footnoteRef/>
      </w:r>
      <w:r w:rsidRPr="0009009E">
        <w:rPr>
          <w:rFonts w:ascii="Arial" w:hAnsi="Arial" w:cs="Arial"/>
          <w:sz w:val="20"/>
          <w:szCs w:val="20"/>
        </w:rPr>
        <w:t xml:space="preserve"> Budlender, Debbie (2017) Pro-employment budgeting in the United Republic of Tanzania: A country study, Employment Working Paper No. 213, International Labour Organization.</w:t>
      </w:r>
    </w:p>
    <w:p w14:paraId="1AE18319" w14:textId="7ACCAB93" w:rsidR="0009009E" w:rsidRPr="0009009E" w:rsidRDefault="0009009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7A1A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3398D"/>
    <w:multiLevelType w:val="hybridMultilevel"/>
    <w:tmpl w:val="0730293E"/>
    <w:lvl w:ilvl="0" w:tplc="868AE4F0">
      <w:start w:val="1"/>
      <w:numFmt w:val="bullet"/>
      <w:lvlText w:val="•"/>
      <w:lvlJc w:val="left"/>
      <w:pPr>
        <w:tabs>
          <w:tab w:val="num" w:pos="720"/>
        </w:tabs>
        <w:ind w:left="720" w:hanging="360"/>
      </w:pPr>
      <w:rPr>
        <w:rFonts w:ascii="Arial" w:hAnsi="Arial" w:hint="default"/>
      </w:rPr>
    </w:lvl>
    <w:lvl w:ilvl="1" w:tplc="91D2C2F6" w:tentative="1">
      <w:start w:val="1"/>
      <w:numFmt w:val="bullet"/>
      <w:lvlText w:val="•"/>
      <w:lvlJc w:val="left"/>
      <w:pPr>
        <w:tabs>
          <w:tab w:val="num" w:pos="1440"/>
        </w:tabs>
        <w:ind w:left="1440" w:hanging="360"/>
      </w:pPr>
      <w:rPr>
        <w:rFonts w:ascii="Arial" w:hAnsi="Arial" w:hint="default"/>
      </w:rPr>
    </w:lvl>
    <w:lvl w:ilvl="2" w:tplc="D032BE62" w:tentative="1">
      <w:start w:val="1"/>
      <w:numFmt w:val="bullet"/>
      <w:lvlText w:val="•"/>
      <w:lvlJc w:val="left"/>
      <w:pPr>
        <w:tabs>
          <w:tab w:val="num" w:pos="2160"/>
        </w:tabs>
        <w:ind w:left="2160" w:hanging="360"/>
      </w:pPr>
      <w:rPr>
        <w:rFonts w:ascii="Arial" w:hAnsi="Arial" w:hint="default"/>
      </w:rPr>
    </w:lvl>
    <w:lvl w:ilvl="3" w:tplc="265E67C2" w:tentative="1">
      <w:start w:val="1"/>
      <w:numFmt w:val="bullet"/>
      <w:lvlText w:val="•"/>
      <w:lvlJc w:val="left"/>
      <w:pPr>
        <w:tabs>
          <w:tab w:val="num" w:pos="2880"/>
        </w:tabs>
        <w:ind w:left="2880" w:hanging="360"/>
      </w:pPr>
      <w:rPr>
        <w:rFonts w:ascii="Arial" w:hAnsi="Arial" w:hint="default"/>
      </w:rPr>
    </w:lvl>
    <w:lvl w:ilvl="4" w:tplc="ECC262B4" w:tentative="1">
      <w:start w:val="1"/>
      <w:numFmt w:val="bullet"/>
      <w:lvlText w:val="•"/>
      <w:lvlJc w:val="left"/>
      <w:pPr>
        <w:tabs>
          <w:tab w:val="num" w:pos="3600"/>
        </w:tabs>
        <w:ind w:left="3600" w:hanging="360"/>
      </w:pPr>
      <w:rPr>
        <w:rFonts w:ascii="Arial" w:hAnsi="Arial" w:hint="default"/>
      </w:rPr>
    </w:lvl>
    <w:lvl w:ilvl="5" w:tplc="1ADEFF3A" w:tentative="1">
      <w:start w:val="1"/>
      <w:numFmt w:val="bullet"/>
      <w:lvlText w:val="•"/>
      <w:lvlJc w:val="left"/>
      <w:pPr>
        <w:tabs>
          <w:tab w:val="num" w:pos="4320"/>
        </w:tabs>
        <w:ind w:left="4320" w:hanging="360"/>
      </w:pPr>
      <w:rPr>
        <w:rFonts w:ascii="Arial" w:hAnsi="Arial" w:hint="default"/>
      </w:rPr>
    </w:lvl>
    <w:lvl w:ilvl="6" w:tplc="22102356" w:tentative="1">
      <w:start w:val="1"/>
      <w:numFmt w:val="bullet"/>
      <w:lvlText w:val="•"/>
      <w:lvlJc w:val="left"/>
      <w:pPr>
        <w:tabs>
          <w:tab w:val="num" w:pos="5040"/>
        </w:tabs>
        <w:ind w:left="5040" w:hanging="360"/>
      </w:pPr>
      <w:rPr>
        <w:rFonts w:ascii="Arial" w:hAnsi="Arial" w:hint="default"/>
      </w:rPr>
    </w:lvl>
    <w:lvl w:ilvl="7" w:tplc="E69ECBA2" w:tentative="1">
      <w:start w:val="1"/>
      <w:numFmt w:val="bullet"/>
      <w:lvlText w:val="•"/>
      <w:lvlJc w:val="left"/>
      <w:pPr>
        <w:tabs>
          <w:tab w:val="num" w:pos="5760"/>
        </w:tabs>
        <w:ind w:left="5760" w:hanging="360"/>
      </w:pPr>
      <w:rPr>
        <w:rFonts w:ascii="Arial" w:hAnsi="Arial" w:hint="default"/>
      </w:rPr>
    </w:lvl>
    <w:lvl w:ilvl="8" w:tplc="A72A84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6E1881"/>
    <w:multiLevelType w:val="multilevel"/>
    <w:tmpl w:val="8658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063C1"/>
    <w:multiLevelType w:val="hybridMultilevel"/>
    <w:tmpl w:val="7CCC2CE0"/>
    <w:lvl w:ilvl="0" w:tplc="17F6A944">
      <w:start w:val="1"/>
      <w:numFmt w:val="bullet"/>
      <w:lvlText w:val="•"/>
      <w:lvlJc w:val="left"/>
      <w:pPr>
        <w:tabs>
          <w:tab w:val="num" w:pos="720"/>
        </w:tabs>
        <w:ind w:left="720" w:hanging="360"/>
      </w:pPr>
      <w:rPr>
        <w:rFonts w:ascii="Arial" w:hAnsi="Arial" w:hint="default"/>
      </w:rPr>
    </w:lvl>
    <w:lvl w:ilvl="1" w:tplc="0F127916" w:tentative="1">
      <w:start w:val="1"/>
      <w:numFmt w:val="bullet"/>
      <w:lvlText w:val="•"/>
      <w:lvlJc w:val="left"/>
      <w:pPr>
        <w:tabs>
          <w:tab w:val="num" w:pos="1440"/>
        </w:tabs>
        <w:ind w:left="1440" w:hanging="360"/>
      </w:pPr>
      <w:rPr>
        <w:rFonts w:ascii="Arial" w:hAnsi="Arial" w:hint="default"/>
      </w:rPr>
    </w:lvl>
    <w:lvl w:ilvl="2" w:tplc="E102CC20" w:tentative="1">
      <w:start w:val="1"/>
      <w:numFmt w:val="bullet"/>
      <w:lvlText w:val="•"/>
      <w:lvlJc w:val="left"/>
      <w:pPr>
        <w:tabs>
          <w:tab w:val="num" w:pos="2160"/>
        </w:tabs>
        <w:ind w:left="2160" w:hanging="360"/>
      </w:pPr>
      <w:rPr>
        <w:rFonts w:ascii="Arial" w:hAnsi="Arial" w:hint="default"/>
      </w:rPr>
    </w:lvl>
    <w:lvl w:ilvl="3" w:tplc="750CC4AE" w:tentative="1">
      <w:start w:val="1"/>
      <w:numFmt w:val="bullet"/>
      <w:lvlText w:val="•"/>
      <w:lvlJc w:val="left"/>
      <w:pPr>
        <w:tabs>
          <w:tab w:val="num" w:pos="2880"/>
        </w:tabs>
        <w:ind w:left="2880" w:hanging="360"/>
      </w:pPr>
      <w:rPr>
        <w:rFonts w:ascii="Arial" w:hAnsi="Arial" w:hint="default"/>
      </w:rPr>
    </w:lvl>
    <w:lvl w:ilvl="4" w:tplc="D910C29C" w:tentative="1">
      <w:start w:val="1"/>
      <w:numFmt w:val="bullet"/>
      <w:lvlText w:val="•"/>
      <w:lvlJc w:val="left"/>
      <w:pPr>
        <w:tabs>
          <w:tab w:val="num" w:pos="3600"/>
        </w:tabs>
        <w:ind w:left="3600" w:hanging="360"/>
      </w:pPr>
      <w:rPr>
        <w:rFonts w:ascii="Arial" w:hAnsi="Arial" w:hint="default"/>
      </w:rPr>
    </w:lvl>
    <w:lvl w:ilvl="5" w:tplc="5894B348" w:tentative="1">
      <w:start w:val="1"/>
      <w:numFmt w:val="bullet"/>
      <w:lvlText w:val="•"/>
      <w:lvlJc w:val="left"/>
      <w:pPr>
        <w:tabs>
          <w:tab w:val="num" w:pos="4320"/>
        </w:tabs>
        <w:ind w:left="4320" w:hanging="360"/>
      </w:pPr>
      <w:rPr>
        <w:rFonts w:ascii="Arial" w:hAnsi="Arial" w:hint="default"/>
      </w:rPr>
    </w:lvl>
    <w:lvl w:ilvl="6" w:tplc="55C4DACE" w:tentative="1">
      <w:start w:val="1"/>
      <w:numFmt w:val="bullet"/>
      <w:lvlText w:val="•"/>
      <w:lvlJc w:val="left"/>
      <w:pPr>
        <w:tabs>
          <w:tab w:val="num" w:pos="5040"/>
        </w:tabs>
        <w:ind w:left="5040" w:hanging="360"/>
      </w:pPr>
      <w:rPr>
        <w:rFonts w:ascii="Arial" w:hAnsi="Arial" w:hint="default"/>
      </w:rPr>
    </w:lvl>
    <w:lvl w:ilvl="7" w:tplc="BFC44A14" w:tentative="1">
      <w:start w:val="1"/>
      <w:numFmt w:val="bullet"/>
      <w:lvlText w:val="•"/>
      <w:lvlJc w:val="left"/>
      <w:pPr>
        <w:tabs>
          <w:tab w:val="num" w:pos="5760"/>
        </w:tabs>
        <w:ind w:left="5760" w:hanging="360"/>
      </w:pPr>
      <w:rPr>
        <w:rFonts w:ascii="Arial" w:hAnsi="Arial" w:hint="default"/>
      </w:rPr>
    </w:lvl>
    <w:lvl w:ilvl="8" w:tplc="666234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19275B"/>
    <w:multiLevelType w:val="multilevel"/>
    <w:tmpl w:val="25545D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97265"/>
    <w:multiLevelType w:val="hybridMultilevel"/>
    <w:tmpl w:val="BE0C520C"/>
    <w:lvl w:ilvl="0" w:tplc="0E646D3C">
      <w:start w:val="1"/>
      <w:numFmt w:val="bullet"/>
      <w:lvlText w:val="•"/>
      <w:lvlJc w:val="left"/>
      <w:pPr>
        <w:tabs>
          <w:tab w:val="num" w:pos="720"/>
        </w:tabs>
        <w:ind w:left="720" w:hanging="360"/>
      </w:pPr>
      <w:rPr>
        <w:rFonts w:ascii="Arial" w:hAnsi="Arial" w:hint="default"/>
      </w:rPr>
    </w:lvl>
    <w:lvl w:ilvl="1" w:tplc="2BACC712" w:tentative="1">
      <w:start w:val="1"/>
      <w:numFmt w:val="bullet"/>
      <w:lvlText w:val="•"/>
      <w:lvlJc w:val="left"/>
      <w:pPr>
        <w:tabs>
          <w:tab w:val="num" w:pos="1440"/>
        </w:tabs>
        <w:ind w:left="1440" w:hanging="360"/>
      </w:pPr>
      <w:rPr>
        <w:rFonts w:ascii="Arial" w:hAnsi="Arial" w:hint="default"/>
      </w:rPr>
    </w:lvl>
    <w:lvl w:ilvl="2" w:tplc="A3AC8FD8" w:tentative="1">
      <w:start w:val="1"/>
      <w:numFmt w:val="bullet"/>
      <w:lvlText w:val="•"/>
      <w:lvlJc w:val="left"/>
      <w:pPr>
        <w:tabs>
          <w:tab w:val="num" w:pos="2160"/>
        </w:tabs>
        <w:ind w:left="2160" w:hanging="360"/>
      </w:pPr>
      <w:rPr>
        <w:rFonts w:ascii="Arial" w:hAnsi="Arial" w:hint="default"/>
      </w:rPr>
    </w:lvl>
    <w:lvl w:ilvl="3" w:tplc="F22AECB6" w:tentative="1">
      <w:start w:val="1"/>
      <w:numFmt w:val="bullet"/>
      <w:lvlText w:val="•"/>
      <w:lvlJc w:val="left"/>
      <w:pPr>
        <w:tabs>
          <w:tab w:val="num" w:pos="2880"/>
        </w:tabs>
        <w:ind w:left="2880" w:hanging="360"/>
      </w:pPr>
      <w:rPr>
        <w:rFonts w:ascii="Arial" w:hAnsi="Arial" w:hint="default"/>
      </w:rPr>
    </w:lvl>
    <w:lvl w:ilvl="4" w:tplc="B2CCC2DA" w:tentative="1">
      <w:start w:val="1"/>
      <w:numFmt w:val="bullet"/>
      <w:lvlText w:val="•"/>
      <w:lvlJc w:val="left"/>
      <w:pPr>
        <w:tabs>
          <w:tab w:val="num" w:pos="3600"/>
        </w:tabs>
        <w:ind w:left="3600" w:hanging="360"/>
      </w:pPr>
      <w:rPr>
        <w:rFonts w:ascii="Arial" w:hAnsi="Arial" w:hint="default"/>
      </w:rPr>
    </w:lvl>
    <w:lvl w:ilvl="5" w:tplc="A2D65DAC" w:tentative="1">
      <w:start w:val="1"/>
      <w:numFmt w:val="bullet"/>
      <w:lvlText w:val="•"/>
      <w:lvlJc w:val="left"/>
      <w:pPr>
        <w:tabs>
          <w:tab w:val="num" w:pos="4320"/>
        </w:tabs>
        <w:ind w:left="4320" w:hanging="360"/>
      </w:pPr>
      <w:rPr>
        <w:rFonts w:ascii="Arial" w:hAnsi="Arial" w:hint="default"/>
      </w:rPr>
    </w:lvl>
    <w:lvl w:ilvl="6" w:tplc="E8523402" w:tentative="1">
      <w:start w:val="1"/>
      <w:numFmt w:val="bullet"/>
      <w:lvlText w:val="•"/>
      <w:lvlJc w:val="left"/>
      <w:pPr>
        <w:tabs>
          <w:tab w:val="num" w:pos="5040"/>
        </w:tabs>
        <w:ind w:left="5040" w:hanging="360"/>
      </w:pPr>
      <w:rPr>
        <w:rFonts w:ascii="Arial" w:hAnsi="Arial" w:hint="default"/>
      </w:rPr>
    </w:lvl>
    <w:lvl w:ilvl="7" w:tplc="7C58C4EA" w:tentative="1">
      <w:start w:val="1"/>
      <w:numFmt w:val="bullet"/>
      <w:lvlText w:val="•"/>
      <w:lvlJc w:val="left"/>
      <w:pPr>
        <w:tabs>
          <w:tab w:val="num" w:pos="5760"/>
        </w:tabs>
        <w:ind w:left="5760" w:hanging="360"/>
      </w:pPr>
      <w:rPr>
        <w:rFonts w:ascii="Arial" w:hAnsi="Arial" w:hint="default"/>
      </w:rPr>
    </w:lvl>
    <w:lvl w:ilvl="8" w:tplc="BCF0B6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1015FC"/>
    <w:multiLevelType w:val="hybridMultilevel"/>
    <w:tmpl w:val="1550ED66"/>
    <w:lvl w:ilvl="0" w:tplc="EEA49BEC">
      <w:start w:val="1"/>
      <w:numFmt w:val="bullet"/>
      <w:lvlText w:val="•"/>
      <w:lvlJc w:val="left"/>
      <w:pPr>
        <w:tabs>
          <w:tab w:val="num" w:pos="720"/>
        </w:tabs>
        <w:ind w:left="720" w:hanging="360"/>
      </w:pPr>
      <w:rPr>
        <w:rFonts w:ascii="Arial" w:hAnsi="Arial" w:hint="default"/>
      </w:rPr>
    </w:lvl>
    <w:lvl w:ilvl="1" w:tplc="27843B94" w:tentative="1">
      <w:start w:val="1"/>
      <w:numFmt w:val="bullet"/>
      <w:lvlText w:val="•"/>
      <w:lvlJc w:val="left"/>
      <w:pPr>
        <w:tabs>
          <w:tab w:val="num" w:pos="1440"/>
        </w:tabs>
        <w:ind w:left="1440" w:hanging="360"/>
      </w:pPr>
      <w:rPr>
        <w:rFonts w:ascii="Arial" w:hAnsi="Arial" w:hint="default"/>
      </w:rPr>
    </w:lvl>
    <w:lvl w:ilvl="2" w:tplc="F7040482" w:tentative="1">
      <w:start w:val="1"/>
      <w:numFmt w:val="bullet"/>
      <w:lvlText w:val="•"/>
      <w:lvlJc w:val="left"/>
      <w:pPr>
        <w:tabs>
          <w:tab w:val="num" w:pos="2160"/>
        </w:tabs>
        <w:ind w:left="2160" w:hanging="360"/>
      </w:pPr>
      <w:rPr>
        <w:rFonts w:ascii="Arial" w:hAnsi="Arial" w:hint="default"/>
      </w:rPr>
    </w:lvl>
    <w:lvl w:ilvl="3" w:tplc="6D5E3822" w:tentative="1">
      <w:start w:val="1"/>
      <w:numFmt w:val="bullet"/>
      <w:lvlText w:val="•"/>
      <w:lvlJc w:val="left"/>
      <w:pPr>
        <w:tabs>
          <w:tab w:val="num" w:pos="2880"/>
        </w:tabs>
        <w:ind w:left="2880" w:hanging="360"/>
      </w:pPr>
      <w:rPr>
        <w:rFonts w:ascii="Arial" w:hAnsi="Arial" w:hint="default"/>
      </w:rPr>
    </w:lvl>
    <w:lvl w:ilvl="4" w:tplc="C0F4051C" w:tentative="1">
      <w:start w:val="1"/>
      <w:numFmt w:val="bullet"/>
      <w:lvlText w:val="•"/>
      <w:lvlJc w:val="left"/>
      <w:pPr>
        <w:tabs>
          <w:tab w:val="num" w:pos="3600"/>
        </w:tabs>
        <w:ind w:left="3600" w:hanging="360"/>
      </w:pPr>
      <w:rPr>
        <w:rFonts w:ascii="Arial" w:hAnsi="Arial" w:hint="default"/>
      </w:rPr>
    </w:lvl>
    <w:lvl w:ilvl="5" w:tplc="64EC4092" w:tentative="1">
      <w:start w:val="1"/>
      <w:numFmt w:val="bullet"/>
      <w:lvlText w:val="•"/>
      <w:lvlJc w:val="left"/>
      <w:pPr>
        <w:tabs>
          <w:tab w:val="num" w:pos="4320"/>
        </w:tabs>
        <w:ind w:left="4320" w:hanging="360"/>
      </w:pPr>
      <w:rPr>
        <w:rFonts w:ascii="Arial" w:hAnsi="Arial" w:hint="default"/>
      </w:rPr>
    </w:lvl>
    <w:lvl w:ilvl="6" w:tplc="859E853A" w:tentative="1">
      <w:start w:val="1"/>
      <w:numFmt w:val="bullet"/>
      <w:lvlText w:val="•"/>
      <w:lvlJc w:val="left"/>
      <w:pPr>
        <w:tabs>
          <w:tab w:val="num" w:pos="5040"/>
        </w:tabs>
        <w:ind w:left="5040" w:hanging="360"/>
      </w:pPr>
      <w:rPr>
        <w:rFonts w:ascii="Arial" w:hAnsi="Arial" w:hint="default"/>
      </w:rPr>
    </w:lvl>
    <w:lvl w:ilvl="7" w:tplc="9FCA73FA" w:tentative="1">
      <w:start w:val="1"/>
      <w:numFmt w:val="bullet"/>
      <w:lvlText w:val="•"/>
      <w:lvlJc w:val="left"/>
      <w:pPr>
        <w:tabs>
          <w:tab w:val="num" w:pos="5760"/>
        </w:tabs>
        <w:ind w:left="5760" w:hanging="360"/>
      </w:pPr>
      <w:rPr>
        <w:rFonts w:ascii="Arial" w:hAnsi="Arial" w:hint="default"/>
      </w:rPr>
    </w:lvl>
    <w:lvl w:ilvl="8" w:tplc="B008B8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3E6E07"/>
    <w:multiLevelType w:val="hybridMultilevel"/>
    <w:tmpl w:val="9724B276"/>
    <w:lvl w:ilvl="0" w:tplc="CBBC91DC">
      <w:start w:val="1"/>
      <w:numFmt w:val="bullet"/>
      <w:lvlText w:val="•"/>
      <w:lvlJc w:val="left"/>
      <w:pPr>
        <w:tabs>
          <w:tab w:val="num" w:pos="720"/>
        </w:tabs>
        <w:ind w:left="720" w:hanging="360"/>
      </w:pPr>
      <w:rPr>
        <w:rFonts w:ascii="Arial" w:hAnsi="Arial" w:hint="default"/>
      </w:rPr>
    </w:lvl>
    <w:lvl w:ilvl="1" w:tplc="2152CFA6" w:tentative="1">
      <w:start w:val="1"/>
      <w:numFmt w:val="bullet"/>
      <w:lvlText w:val="•"/>
      <w:lvlJc w:val="left"/>
      <w:pPr>
        <w:tabs>
          <w:tab w:val="num" w:pos="1440"/>
        </w:tabs>
        <w:ind w:left="1440" w:hanging="360"/>
      </w:pPr>
      <w:rPr>
        <w:rFonts w:ascii="Arial" w:hAnsi="Arial" w:hint="default"/>
      </w:rPr>
    </w:lvl>
    <w:lvl w:ilvl="2" w:tplc="C5B40192" w:tentative="1">
      <w:start w:val="1"/>
      <w:numFmt w:val="bullet"/>
      <w:lvlText w:val="•"/>
      <w:lvlJc w:val="left"/>
      <w:pPr>
        <w:tabs>
          <w:tab w:val="num" w:pos="2160"/>
        </w:tabs>
        <w:ind w:left="2160" w:hanging="360"/>
      </w:pPr>
      <w:rPr>
        <w:rFonts w:ascii="Arial" w:hAnsi="Arial" w:hint="default"/>
      </w:rPr>
    </w:lvl>
    <w:lvl w:ilvl="3" w:tplc="A8F2D900" w:tentative="1">
      <w:start w:val="1"/>
      <w:numFmt w:val="bullet"/>
      <w:lvlText w:val="•"/>
      <w:lvlJc w:val="left"/>
      <w:pPr>
        <w:tabs>
          <w:tab w:val="num" w:pos="2880"/>
        </w:tabs>
        <w:ind w:left="2880" w:hanging="360"/>
      </w:pPr>
      <w:rPr>
        <w:rFonts w:ascii="Arial" w:hAnsi="Arial" w:hint="default"/>
      </w:rPr>
    </w:lvl>
    <w:lvl w:ilvl="4" w:tplc="80605566" w:tentative="1">
      <w:start w:val="1"/>
      <w:numFmt w:val="bullet"/>
      <w:lvlText w:val="•"/>
      <w:lvlJc w:val="left"/>
      <w:pPr>
        <w:tabs>
          <w:tab w:val="num" w:pos="3600"/>
        </w:tabs>
        <w:ind w:left="3600" w:hanging="360"/>
      </w:pPr>
      <w:rPr>
        <w:rFonts w:ascii="Arial" w:hAnsi="Arial" w:hint="default"/>
      </w:rPr>
    </w:lvl>
    <w:lvl w:ilvl="5" w:tplc="A0741D66" w:tentative="1">
      <w:start w:val="1"/>
      <w:numFmt w:val="bullet"/>
      <w:lvlText w:val="•"/>
      <w:lvlJc w:val="left"/>
      <w:pPr>
        <w:tabs>
          <w:tab w:val="num" w:pos="4320"/>
        </w:tabs>
        <w:ind w:left="4320" w:hanging="360"/>
      </w:pPr>
      <w:rPr>
        <w:rFonts w:ascii="Arial" w:hAnsi="Arial" w:hint="default"/>
      </w:rPr>
    </w:lvl>
    <w:lvl w:ilvl="6" w:tplc="56788F70" w:tentative="1">
      <w:start w:val="1"/>
      <w:numFmt w:val="bullet"/>
      <w:lvlText w:val="•"/>
      <w:lvlJc w:val="left"/>
      <w:pPr>
        <w:tabs>
          <w:tab w:val="num" w:pos="5040"/>
        </w:tabs>
        <w:ind w:left="5040" w:hanging="360"/>
      </w:pPr>
      <w:rPr>
        <w:rFonts w:ascii="Arial" w:hAnsi="Arial" w:hint="default"/>
      </w:rPr>
    </w:lvl>
    <w:lvl w:ilvl="7" w:tplc="369442CC" w:tentative="1">
      <w:start w:val="1"/>
      <w:numFmt w:val="bullet"/>
      <w:lvlText w:val="•"/>
      <w:lvlJc w:val="left"/>
      <w:pPr>
        <w:tabs>
          <w:tab w:val="num" w:pos="5760"/>
        </w:tabs>
        <w:ind w:left="5760" w:hanging="360"/>
      </w:pPr>
      <w:rPr>
        <w:rFonts w:ascii="Arial" w:hAnsi="Arial" w:hint="default"/>
      </w:rPr>
    </w:lvl>
    <w:lvl w:ilvl="8" w:tplc="065EA6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6712FE"/>
    <w:multiLevelType w:val="hybridMultilevel"/>
    <w:tmpl w:val="9A261288"/>
    <w:lvl w:ilvl="0" w:tplc="2DFA1E56">
      <w:start w:val="1"/>
      <w:numFmt w:val="bullet"/>
      <w:lvlText w:val="•"/>
      <w:lvlJc w:val="left"/>
      <w:pPr>
        <w:tabs>
          <w:tab w:val="num" w:pos="720"/>
        </w:tabs>
        <w:ind w:left="720" w:hanging="360"/>
      </w:pPr>
      <w:rPr>
        <w:rFonts w:ascii="Arial" w:hAnsi="Arial" w:hint="default"/>
      </w:rPr>
    </w:lvl>
    <w:lvl w:ilvl="1" w:tplc="4C107D14" w:tentative="1">
      <w:start w:val="1"/>
      <w:numFmt w:val="bullet"/>
      <w:lvlText w:val="•"/>
      <w:lvlJc w:val="left"/>
      <w:pPr>
        <w:tabs>
          <w:tab w:val="num" w:pos="1440"/>
        </w:tabs>
        <w:ind w:left="1440" w:hanging="360"/>
      </w:pPr>
      <w:rPr>
        <w:rFonts w:ascii="Arial" w:hAnsi="Arial" w:hint="default"/>
      </w:rPr>
    </w:lvl>
    <w:lvl w:ilvl="2" w:tplc="F730B29E" w:tentative="1">
      <w:start w:val="1"/>
      <w:numFmt w:val="bullet"/>
      <w:lvlText w:val="•"/>
      <w:lvlJc w:val="left"/>
      <w:pPr>
        <w:tabs>
          <w:tab w:val="num" w:pos="2160"/>
        </w:tabs>
        <w:ind w:left="2160" w:hanging="360"/>
      </w:pPr>
      <w:rPr>
        <w:rFonts w:ascii="Arial" w:hAnsi="Arial" w:hint="default"/>
      </w:rPr>
    </w:lvl>
    <w:lvl w:ilvl="3" w:tplc="0C8A4F8E" w:tentative="1">
      <w:start w:val="1"/>
      <w:numFmt w:val="bullet"/>
      <w:lvlText w:val="•"/>
      <w:lvlJc w:val="left"/>
      <w:pPr>
        <w:tabs>
          <w:tab w:val="num" w:pos="2880"/>
        </w:tabs>
        <w:ind w:left="2880" w:hanging="360"/>
      </w:pPr>
      <w:rPr>
        <w:rFonts w:ascii="Arial" w:hAnsi="Arial" w:hint="default"/>
      </w:rPr>
    </w:lvl>
    <w:lvl w:ilvl="4" w:tplc="5F5A968C" w:tentative="1">
      <w:start w:val="1"/>
      <w:numFmt w:val="bullet"/>
      <w:lvlText w:val="•"/>
      <w:lvlJc w:val="left"/>
      <w:pPr>
        <w:tabs>
          <w:tab w:val="num" w:pos="3600"/>
        </w:tabs>
        <w:ind w:left="3600" w:hanging="360"/>
      </w:pPr>
      <w:rPr>
        <w:rFonts w:ascii="Arial" w:hAnsi="Arial" w:hint="default"/>
      </w:rPr>
    </w:lvl>
    <w:lvl w:ilvl="5" w:tplc="27204468" w:tentative="1">
      <w:start w:val="1"/>
      <w:numFmt w:val="bullet"/>
      <w:lvlText w:val="•"/>
      <w:lvlJc w:val="left"/>
      <w:pPr>
        <w:tabs>
          <w:tab w:val="num" w:pos="4320"/>
        </w:tabs>
        <w:ind w:left="4320" w:hanging="360"/>
      </w:pPr>
      <w:rPr>
        <w:rFonts w:ascii="Arial" w:hAnsi="Arial" w:hint="default"/>
      </w:rPr>
    </w:lvl>
    <w:lvl w:ilvl="6" w:tplc="BCF48F30" w:tentative="1">
      <w:start w:val="1"/>
      <w:numFmt w:val="bullet"/>
      <w:lvlText w:val="•"/>
      <w:lvlJc w:val="left"/>
      <w:pPr>
        <w:tabs>
          <w:tab w:val="num" w:pos="5040"/>
        </w:tabs>
        <w:ind w:left="5040" w:hanging="360"/>
      </w:pPr>
      <w:rPr>
        <w:rFonts w:ascii="Arial" w:hAnsi="Arial" w:hint="default"/>
      </w:rPr>
    </w:lvl>
    <w:lvl w:ilvl="7" w:tplc="90DA6222" w:tentative="1">
      <w:start w:val="1"/>
      <w:numFmt w:val="bullet"/>
      <w:lvlText w:val="•"/>
      <w:lvlJc w:val="left"/>
      <w:pPr>
        <w:tabs>
          <w:tab w:val="num" w:pos="5760"/>
        </w:tabs>
        <w:ind w:left="5760" w:hanging="360"/>
      </w:pPr>
      <w:rPr>
        <w:rFonts w:ascii="Arial" w:hAnsi="Arial" w:hint="default"/>
      </w:rPr>
    </w:lvl>
    <w:lvl w:ilvl="8" w:tplc="404632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4B5A00"/>
    <w:multiLevelType w:val="hybridMultilevel"/>
    <w:tmpl w:val="0518A7E0"/>
    <w:lvl w:ilvl="0" w:tplc="A650E678">
      <w:start w:val="1"/>
      <w:numFmt w:val="bullet"/>
      <w:lvlText w:val="•"/>
      <w:lvlJc w:val="left"/>
      <w:pPr>
        <w:tabs>
          <w:tab w:val="num" w:pos="720"/>
        </w:tabs>
        <w:ind w:left="720" w:hanging="360"/>
      </w:pPr>
      <w:rPr>
        <w:rFonts w:ascii="Arial" w:hAnsi="Arial" w:hint="default"/>
      </w:rPr>
    </w:lvl>
    <w:lvl w:ilvl="1" w:tplc="082E3C6C" w:tentative="1">
      <w:start w:val="1"/>
      <w:numFmt w:val="bullet"/>
      <w:lvlText w:val="•"/>
      <w:lvlJc w:val="left"/>
      <w:pPr>
        <w:tabs>
          <w:tab w:val="num" w:pos="1440"/>
        </w:tabs>
        <w:ind w:left="1440" w:hanging="360"/>
      </w:pPr>
      <w:rPr>
        <w:rFonts w:ascii="Arial" w:hAnsi="Arial" w:hint="default"/>
      </w:rPr>
    </w:lvl>
    <w:lvl w:ilvl="2" w:tplc="76F05C6C" w:tentative="1">
      <w:start w:val="1"/>
      <w:numFmt w:val="bullet"/>
      <w:lvlText w:val="•"/>
      <w:lvlJc w:val="left"/>
      <w:pPr>
        <w:tabs>
          <w:tab w:val="num" w:pos="2160"/>
        </w:tabs>
        <w:ind w:left="2160" w:hanging="360"/>
      </w:pPr>
      <w:rPr>
        <w:rFonts w:ascii="Arial" w:hAnsi="Arial" w:hint="default"/>
      </w:rPr>
    </w:lvl>
    <w:lvl w:ilvl="3" w:tplc="1F9E57A2" w:tentative="1">
      <w:start w:val="1"/>
      <w:numFmt w:val="bullet"/>
      <w:lvlText w:val="•"/>
      <w:lvlJc w:val="left"/>
      <w:pPr>
        <w:tabs>
          <w:tab w:val="num" w:pos="2880"/>
        </w:tabs>
        <w:ind w:left="2880" w:hanging="360"/>
      </w:pPr>
      <w:rPr>
        <w:rFonts w:ascii="Arial" w:hAnsi="Arial" w:hint="default"/>
      </w:rPr>
    </w:lvl>
    <w:lvl w:ilvl="4" w:tplc="5DB8F282" w:tentative="1">
      <w:start w:val="1"/>
      <w:numFmt w:val="bullet"/>
      <w:lvlText w:val="•"/>
      <w:lvlJc w:val="left"/>
      <w:pPr>
        <w:tabs>
          <w:tab w:val="num" w:pos="3600"/>
        </w:tabs>
        <w:ind w:left="3600" w:hanging="360"/>
      </w:pPr>
      <w:rPr>
        <w:rFonts w:ascii="Arial" w:hAnsi="Arial" w:hint="default"/>
      </w:rPr>
    </w:lvl>
    <w:lvl w:ilvl="5" w:tplc="2F30B2E2" w:tentative="1">
      <w:start w:val="1"/>
      <w:numFmt w:val="bullet"/>
      <w:lvlText w:val="•"/>
      <w:lvlJc w:val="left"/>
      <w:pPr>
        <w:tabs>
          <w:tab w:val="num" w:pos="4320"/>
        </w:tabs>
        <w:ind w:left="4320" w:hanging="360"/>
      </w:pPr>
      <w:rPr>
        <w:rFonts w:ascii="Arial" w:hAnsi="Arial" w:hint="default"/>
      </w:rPr>
    </w:lvl>
    <w:lvl w:ilvl="6" w:tplc="33CEC920" w:tentative="1">
      <w:start w:val="1"/>
      <w:numFmt w:val="bullet"/>
      <w:lvlText w:val="•"/>
      <w:lvlJc w:val="left"/>
      <w:pPr>
        <w:tabs>
          <w:tab w:val="num" w:pos="5040"/>
        </w:tabs>
        <w:ind w:left="5040" w:hanging="360"/>
      </w:pPr>
      <w:rPr>
        <w:rFonts w:ascii="Arial" w:hAnsi="Arial" w:hint="default"/>
      </w:rPr>
    </w:lvl>
    <w:lvl w:ilvl="7" w:tplc="6B84FEB2" w:tentative="1">
      <w:start w:val="1"/>
      <w:numFmt w:val="bullet"/>
      <w:lvlText w:val="•"/>
      <w:lvlJc w:val="left"/>
      <w:pPr>
        <w:tabs>
          <w:tab w:val="num" w:pos="5760"/>
        </w:tabs>
        <w:ind w:left="5760" w:hanging="360"/>
      </w:pPr>
      <w:rPr>
        <w:rFonts w:ascii="Arial" w:hAnsi="Arial" w:hint="default"/>
      </w:rPr>
    </w:lvl>
    <w:lvl w:ilvl="8" w:tplc="A886CD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87639D"/>
    <w:multiLevelType w:val="hybridMultilevel"/>
    <w:tmpl w:val="77AC823A"/>
    <w:lvl w:ilvl="0" w:tplc="5920A8CC">
      <w:start w:val="1"/>
      <w:numFmt w:val="bullet"/>
      <w:lvlText w:val="•"/>
      <w:lvlJc w:val="left"/>
      <w:pPr>
        <w:tabs>
          <w:tab w:val="num" w:pos="720"/>
        </w:tabs>
        <w:ind w:left="720" w:hanging="360"/>
      </w:pPr>
      <w:rPr>
        <w:rFonts w:ascii="Arial" w:hAnsi="Arial" w:hint="default"/>
      </w:rPr>
    </w:lvl>
    <w:lvl w:ilvl="1" w:tplc="2B5CCD0E" w:tentative="1">
      <w:start w:val="1"/>
      <w:numFmt w:val="bullet"/>
      <w:lvlText w:val="•"/>
      <w:lvlJc w:val="left"/>
      <w:pPr>
        <w:tabs>
          <w:tab w:val="num" w:pos="1440"/>
        </w:tabs>
        <w:ind w:left="1440" w:hanging="360"/>
      </w:pPr>
      <w:rPr>
        <w:rFonts w:ascii="Arial" w:hAnsi="Arial" w:hint="default"/>
      </w:rPr>
    </w:lvl>
    <w:lvl w:ilvl="2" w:tplc="1EC615AA" w:tentative="1">
      <w:start w:val="1"/>
      <w:numFmt w:val="bullet"/>
      <w:lvlText w:val="•"/>
      <w:lvlJc w:val="left"/>
      <w:pPr>
        <w:tabs>
          <w:tab w:val="num" w:pos="2160"/>
        </w:tabs>
        <w:ind w:left="2160" w:hanging="360"/>
      </w:pPr>
      <w:rPr>
        <w:rFonts w:ascii="Arial" w:hAnsi="Arial" w:hint="default"/>
      </w:rPr>
    </w:lvl>
    <w:lvl w:ilvl="3" w:tplc="5D285D32" w:tentative="1">
      <w:start w:val="1"/>
      <w:numFmt w:val="bullet"/>
      <w:lvlText w:val="•"/>
      <w:lvlJc w:val="left"/>
      <w:pPr>
        <w:tabs>
          <w:tab w:val="num" w:pos="2880"/>
        </w:tabs>
        <w:ind w:left="2880" w:hanging="360"/>
      </w:pPr>
      <w:rPr>
        <w:rFonts w:ascii="Arial" w:hAnsi="Arial" w:hint="default"/>
      </w:rPr>
    </w:lvl>
    <w:lvl w:ilvl="4" w:tplc="C9B49F66" w:tentative="1">
      <w:start w:val="1"/>
      <w:numFmt w:val="bullet"/>
      <w:lvlText w:val="•"/>
      <w:lvlJc w:val="left"/>
      <w:pPr>
        <w:tabs>
          <w:tab w:val="num" w:pos="3600"/>
        </w:tabs>
        <w:ind w:left="3600" w:hanging="360"/>
      </w:pPr>
      <w:rPr>
        <w:rFonts w:ascii="Arial" w:hAnsi="Arial" w:hint="default"/>
      </w:rPr>
    </w:lvl>
    <w:lvl w:ilvl="5" w:tplc="9438A154" w:tentative="1">
      <w:start w:val="1"/>
      <w:numFmt w:val="bullet"/>
      <w:lvlText w:val="•"/>
      <w:lvlJc w:val="left"/>
      <w:pPr>
        <w:tabs>
          <w:tab w:val="num" w:pos="4320"/>
        </w:tabs>
        <w:ind w:left="4320" w:hanging="360"/>
      </w:pPr>
      <w:rPr>
        <w:rFonts w:ascii="Arial" w:hAnsi="Arial" w:hint="default"/>
      </w:rPr>
    </w:lvl>
    <w:lvl w:ilvl="6" w:tplc="9698C8D2" w:tentative="1">
      <w:start w:val="1"/>
      <w:numFmt w:val="bullet"/>
      <w:lvlText w:val="•"/>
      <w:lvlJc w:val="left"/>
      <w:pPr>
        <w:tabs>
          <w:tab w:val="num" w:pos="5040"/>
        </w:tabs>
        <w:ind w:left="5040" w:hanging="360"/>
      </w:pPr>
      <w:rPr>
        <w:rFonts w:ascii="Arial" w:hAnsi="Arial" w:hint="default"/>
      </w:rPr>
    </w:lvl>
    <w:lvl w:ilvl="7" w:tplc="ADA88144" w:tentative="1">
      <w:start w:val="1"/>
      <w:numFmt w:val="bullet"/>
      <w:lvlText w:val="•"/>
      <w:lvlJc w:val="left"/>
      <w:pPr>
        <w:tabs>
          <w:tab w:val="num" w:pos="5760"/>
        </w:tabs>
        <w:ind w:left="5760" w:hanging="360"/>
      </w:pPr>
      <w:rPr>
        <w:rFonts w:ascii="Arial" w:hAnsi="Arial" w:hint="default"/>
      </w:rPr>
    </w:lvl>
    <w:lvl w:ilvl="8" w:tplc="8BE8EF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8E4F7C"/>
    <w:multiLevelType w:val="hybridMultilevel"/>
    <w:tmpl w:val="14D21E7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4582422A"/>
    <w:multiLevelType w:val="hybridMultilevel"/>
    <w:tmpl w:val="320E98A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4BBB78A2"/>
    <w:multiLevelType w:val="hybridMultilevel"/>
    <w:tmpl w:val="521C4C0C"/>
    <w:lvl w:ilvl="0" w:tplc="C82E1868">
      <w:start w:val="1"/>
      <w:numFmt w:val="bullet"/>
      <w:lvlText w:val="•"/>
      <w:lvlJc w:val="left"/>
      <w:pPr>
        <w:tabs>
          <w:tab w:val="num" w:pos="720"/>
        </w:tabs>
        <w:ind w:left="720" w:hanging="360"/>
      </w:pPr>
      <w:rPr>
        <w:rFonts w:ascii="Arial" w:hAnsi="Arial" w:hint="default"/>
      </w:rPr>
    </w:lvl>
    <w:lvl w:ilvl="1" w:tplc="D06419A8" w:tentative="1">
      <w:start w:val="1"/>
      <w:numFmt w:val="bullet"/>
      <w:lvlText w:val="•"/>
      <w:lvlJc w:val="left"/>
      <w:pPr>
        <w:tabs>
          <w:tab w:val="num" w:pos="1440"/>
        </w:tabs>
        <w:ind w:left="1440" w:hanging="360"/>
      </w:pPr>
      <w:rPr>
        <w:rFonts w:ascii="Arial" w:hAnsi="Arial" w:hint="default"/>
      </w:rPr>
    </w:lvl>
    <w:lvl w:ilvl="2" w:tplc="B99AEAA0" w:tentative="1">
      <w:start w:val="1"/>
      <w:numFmt w:val="bullet"/>
      <w:lvlText w:val="•"/>
      <w:lvlJc w:val="left"/>
      <w:pPr>
        <w:tabs>
          <w:tab w:val="num" w:pos="2160"/>
        </w:tabs>
        <w:ind w:left="2160" w:hanging="360"/>
      </w:pPr>
      <w:rPr>
        <w:rFonts w:ascii="Arial" w:hAnsi="Arial" w:hint="default"/>
      </w:rPr>
    </w:lvl>
    <w:lvl w:ilvl="3" w:tplc="7D2EBB22" w:tentative="1">
      <w:start w:val="1"/>
      <w:numFmt w:val="bullet"/>
      <w:lvlText w:val="•"/>
      <w:lvlJc w:val="left"/>
      <w:pPr>
        <w:tabs>
          <w:tab w:val="num" w:pos="2880"/>
        </w:tabs>
        <w:ind w:left="2880" w:hanging="360"/>
      </w:pPr>
      <w:rPr>
        <w:rFonts w:ascii="Arial" w:hAnsi="Arial" w:hint="default"/>
      </w:rPr>
    </w:lvl>
    <w:lvl w:ilvl="4" w:tplc="B3EACE9C" w:tentative="1">
      <w:start w:val="1"/>
      <w:numFmt w:val="bullet"/>
      <w:lvlText w:val="•"/>
      <w:lvlJc w:val="left"/>
      <w:pPr>
        <w:tabs>
          <w:tab w:val="num" w:pos="3600"/>
        </w:tabs>
        <w:ind w:left="3600" w:hanging="360"/>
      </w:pPr>
      <w:rPr>
        <w:rFonts w:ascii="Arial" w:hAnsi="Arial" w:hint="default"/>
      </w:rPr>
    </w:lvl>
    <w:lvl w:ilvl="5" w:tplc="E5FEC166" w:tentative="1">
      <w:start w:val="1"/>
      <w:numFmt w:val="bullet"/>
      <w:lvlText w:val="•"/>
      <w:lvlJc w:val="left"/>
      <w:pPr>
        <w:tabs>
          <w:tab w:val="num" w:pos="4320"/>
        </w:tabs>
        <w:ind w:left="4320" w:hanging="360"/>
      </w:pPr>
      <w:rPr>
        <w:rFonts w:ascii="Arial" w:hAnsi="Arial" w:hint="default"/>
      </w:rPr>
    </w:lvl>
    <w:lvl w:ilvl="6" w:tplc="FE4A0DBA" w:tentative="1">
      <w:start w:val="1"/>
      <w:numFmt w:val="bullet"/>
      <w:lvlText w:val="•"/>
      <w:lvlJc w:val="left"/>
      <w:pPr>
        <w:tabs>
          <w:tab w:val="num" w:pos="5040"/>
        </w:tabs>
        <w:ind w:left="5040" w:hanging="360"/>
      </w:pPr>
      <w:rPr>
        <w:rFonts w:ascii="Arial" w:hAnsi="Arial" w:hint="default"/>
      </w:rPr>
    </w:lvl>
    <w:lvl w:ilvl="7" w:tplc="D8387EB4" w:tentative="1">
      <w:start w:val="1"/>
      <w:numFmt w:val="bullet"/>
      <w:lvlText w:val="•"/>
      <w:lvlJc w:val="left"/>
      <w:pPr>
        <w:tabs>
          <w:tab w:val="num" w:pos="5760"/>
        </w:tabs>
        <w:ind w:left="5760" w:hanging="360"/>
      </w:pPr>
      <w:rPr>
        <w:rFonts w:ascii="Arial" w:hAnsi="Arial" w:hint="default"/>
      </w:rPr>
    </w:lvl>
    <w:lvl w:ilvl="8" w:tplc="43125C7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D015AB"/>
    <w:multiLevelType w:val="hybridMultilevel"/>
    <w:tmpl w:val="FA7E7066"/>
    <w:lvl w:ilvl="0" w:tplc="6592FFCE">
      <w:start w:val="1"/>
      <w:numFmt w:val="lowerRoman"/>
      <w:lvlText w:val="%1."/>
      <w:lvlJc w:val="right"/>
      <w:pPr>
        <w:tabs>
          <w:tab w:val="num" w:pos="720"/>
        </w:tabs>
        <w:ind w:left="720" w:hanging="360"/>
      </w:pPr>
    </w:lvl>
    <w:lvl w:ilvl="1" w:tplc="2F180F24" w:tentative="1">
      <w:start w:val="1"/>
      <w:numFmt w:val="lowerRoman"/>
      <w:lvlText w:val="%2."/>
      <w:lvlJc w:val="right"/>
      <w:pPr>
        <w:tabs>
          <w:tab w:val="num" w:pos="1440"/>
        </w:tabs>
        <w:ind w:left="1440" w:hanging="360"/>
      </w:pPr>
    </w:lvl>
    <w:lvl w:ilvl="2" w:tplc="1E866A08" w:tentative="1">
      <w:start w:val="1"/>
      <w:numFmt w:val="lowerRoman"/>
      <w:lvlText w:val="%3."/>
      <w:lvlJc w:val="right"/>
      <w:pPr>
        <w:tabs>
          <w:tab w:val="num" w:pos="2160"/>
        </w:tabs>
        <w:ind w:left="2160" w:hanging="360"/>
      </w:pPr>
    </w:lvl>
    <w:lvl w:ilvl="3" w:tplc="4496C4CA" w:tentative="1">
      <w:start w:val="1"/>
      <w:numFmt w:val="lowerRoman"/>
      <w:lvlText w:val="%4."/>
      <w:lvlJc w:val="right"/>
      <w:pPr>
        <w:tabs>
          <w:tab w:val="num" w:pos="2880"/>
        </w:tabs>
        <w:ind w:left="2880" w:hanging="360"/>
      </w:pPr>
    </w:lvl>
    <w:lvl w:ilvl="4" w:tplc="27483D7C" w:tentative="1">
      <w:start w:val="1"/>
      <w:numFmt w:val="lowerRoman"/>
      <w:lvlText w:val="%5."/>
      <w:lvlJc w:val="right"/>
      <w:pPr>
        <w:tabs>
          <w:tab w:val="num" w:pos="3600"/>
        </w:tabs>
        <w:ind w:left="3600" w:hanging="360"/>
      </w:pPr>
    </w:lvl>
    <w:lvl w:ilvl="5" w:tplc="3A646D84" w:tentative="1">
      <w:start w:val="1"/>
      <w:numFmt w:val="lowerRoman"/>
      <w:lvlText w:val="%6."/>
      <w:lvlJc w:val="right"/>
      <w:pPr>
        <w:tabs>
          <w:tab w:val="num" w:pos="4320"/>
        </w:tabs>
        <w:ind w:left="4320" w:hanging="360"/>
      </w:pPr>
    </w:lvl>
    <w:lvl w:ilvl="6" w:tplc="EE7A71FE" w:tentative="1">
      <w:start w:val="1"/>
      <w:numFmt w:val="lowerRoman"/>
      <w:lvlText w:val="%7."/>
      <w:lvlJc w:val="right"/>
      <w:pPr>
        <w:tabs>
          <w:tab w:val="num" w:pos="5040"/>
        </w:tabs>
        <w:ind w:left="5040" w:hanging="360"/>
      </w:pPr>
    </w:lvl>
    <w:lvl w:ilvl="7" w:tplc="7BB06DF8" w:tentative="1">
      <w:start w:val="1"/>
      <w:numFmt w:val="lowerRoman"/>
      <w:lvlText w:val="%8."/>
      <w:lvlJc w:val="right"/>
      <w:pPr>
        <w:tabs>
          <w:tab w:val="num" w:pos="5760"/>
        </w:tabs>
        <w:ind w:left="5760" w:hanging="360"/>
      </w:pPr>
    </w:lvl>
    <w:lvl w:ilvl="8" w:tplc="370C2C06" w:tentative="1">
      <w:start w:val="1"/>
      <w:numFmt w:val="lowerRoman"/>
      <w:lvlText w:val="%9."/>
      <w:lvlJc w:val="right"/>
      <w:pPr>
        <w:tabs>
          <w:tab w:val="num" w:pos="6480"/>
        </w:tabs>
        <w:ind w:left="6480" w:hanging="360"/>
      </w:pPr>
    </w:lvl>
  </w:abstractNum>
  <w:abstractNum w:abstractNumId="15" w15:restartNumberingAfterBreak="0">
    <w:nsid w:val="615C5051"/>
    <w:multiLevelType w:val="hybridMultilevel"/>
    <w:tmpl w:val="1F56A784"/>
    <w:lvl w:ilvl="0" w:tplc="7166F588">
      <w:numFmt w:val="bullet"/>
      <w:lvlText w:val="•"/>
      <w:lvlJc w:val="left"/>
      <w:pPr>
        <w:ind w:left="1080" w:hanging="720"/>
      </w:pPr>
      <w:rPr>
        <w:rFonts w:ascii="Arial" w:eastAsiaTheme="minorHAnsi" w:hAnsi="Arial" w:cs="Aria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3E22093"/>
    <w:multiLevelType w:val="hybridMultilevel"/>
    <w:tmpl w:val="E23E20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4450703"/>
    <w:multiLevelType w:val="hybridMultilevel"/>
    <w:tmpl w:val="744C20DE"/>
    <w:lvl w:ilvl="0" w:tplc="654EBC1C">
      <w:start w:val="1"/>
      <w:numFmt w:val="bullet"/>
      <w:lvlText w:val="•"/>
      <w:lvlJc w:val="left"/>
      <w:pPr>
        <w:tabs>
          <w:tab w:val="num" w:pos="720"/>
        </w:tabs>
        <w:ind w:left="720" w:hanging="360"/>
      </w:pPr>
      <w:rPr>
        <w:rFonts w:ascii="Arial" w:hAnsi="Arial" w:hint="default"/>
      </w:rPr>
    </w:lvl>
    <w:lvl w:ilvl="1" w:tplc="3022EEBE" w:tentative="1">
      <w:start w:val="1"/>
      <w:numFmt w:val="bullet"/>
      <w:lvlText w:val="•"/>
      <w:lvlJc w:val="left"/>
      <w:pPr>
        <w:tabs>
          <w:tab w:val="num" w:pos="1440"/>
        </w:tabs>
        <w:ind w:left="1440" w:hanging="360"/>
      </w:pPr>
      <w:rPr>
        <w:rFonts w:ascii="Arial" w:hAnsi="Arial" w:hint="default"/>
      </w:rPr>
    </w:lvl>
    <w:lvl w:ilvl="2" w:tplc="8C703D80" w:tentative="1">
      <w:start w:val="1"/>
      <w:numFmt w:val="bullet"/>
      <w:lvlText w:val="•"/>
      <w:lvlJc w:val="left"/>
      <w:pPr>
        <w:tabs>
          <w:tab w:val="num" w:pos="2160"/>
        </w:tabs>
        <w:ind w:left="2160" w:hanging="360"/>
      </w:pPr>
      <w:rPr>
        <w:rFonts w:ascii="Arial" w:hAnsi="Arial" w:hint="default"/>
      </w:rPr>
    </w:lvl>
    <w:lvl w:ilvl="3" w:tplc="A6F4687E" w:tentative="1">
      <w:start w:val="1"/>
      <w:numFmt w:val="bullet"/>
      <w:lvlText w:val="•"/>
      <w:lvlJc w:val="left"/>
      <w:pPr>
        <w:tabs>
          <w:tab w:val="num" w:pos="2880"/>
        </w:tabs>
        <w:ind w:left="2880" w:hanging="360"/>
      </w:pPr>
      <w:rPr>
        <w:rFonts w:ascii="Arial" w:hAnsi="Arial" w:hint="default"/>
      </w:rPr>
    </w:lvl>
    <w:lvl w:ilvl="4" w:tplc="0628A272" w:tentative="1">
      <w:start w:val="1"/>
      <w:numFmt w:val="bullet"/>
      <w:lvlText w:val="•"/>
      <w:lvlJc w:val="left"/>
      <w:pPr>
        <w:tabs>
          <w:tab w:val="num" w:pos="3600"/>
        </w:tabs>
        <w:ind w:left="3600" w:hanging="360"/>
      </w:pPr>
      <w:rPr>
        <w:rFonts w:ascii="Arial" w:hAnsi="Arial" w:hint="default"/>
      </w:rPr>
    </w:lvl>
    <w:lvl w:ilvl="5" w:tplc="7FAC7830" w:tentative="1">
      <w:start w:val="1"/>
      <w:numFmt w:val="bullet"/>
      <w:lvlText w:val="•"/>
      <w:lvlJc w:val="left"/>
      <w:pPr>
        <w:tabs>
          <w:tab w:val="num" w:pos="4320"/>
        </w:tabs>
        <w:ind w:left="4320" w:hanging="360"/>
      </w:pPr>
      <w:rPr>
        <w:rFonts w:ascii="Arial" w:hAnsi="Arial" w:hint="default"/>
      </w:rPr>
    </w:lvl>
    <w:lvl w:ilvl="6" w:tplc="40A430D6" w:tentative="1">
      <w:start w:val="1"/>
      <w:numFmt w:val="bullet"/>
      <w:lvlText w:val="•"/>
      <w:lvlJc w:val="left"/>
      <w:pPr>
        <w:tabs>
          <w:tab w:val="num" w:pos="5040"/>
        </w:tabs>
        <w:ind w:left="5040" w:hanging="360"/>
      </w:pPr>
      <w:rPr>
        <w:rFonts w:ascii="Arial" w:hAnsi="Arial" w:hint="default"/>
      </w:rPr>
    </w:lvl>
    <w:lvl w:ilvl="7" w:tplc="058E8C24" w:tentative="1">
      <w:start w:val="1"/>
      <w:numFmt w:val="bullet"/>
      <w:lvlText w:val="•"/>
      <w:lvlJc w:val="left"/>
      <w:pPr>
        <w:tabs>
          <w:tab w:val="num" w:pos="5760"/>
        </w:tabs>
        <w:ind w:left="5760" w:hanging="360"/>
      </w:pPr>
      <w:rPr>
        <w:rFonts w:ascii="Arial" w:hAnsi="Arial" w:hint="default"/>
      </w:rPr>
    </w:lvl>
    <w:lvl w:ilvl="8" w:tplc="EAA0B5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4FA104B"/>
    <w:multiLevelType w:val="hybridMultilevel"/>
    <w:tmpl w:val="692C530A"/>
    <w:lvl w:ilvl="0" w:tplc="0A9E917A">
      <w:start w:val="1"/>
      <w:numFmt w:val="bullet"/>
      <w:lvlText w:val="•"/>
      <w:lvlJc w:val="left"/>
      <w:pPr>
        <w:tabs>
          <w:tab w:val="num" w:pos="720"/>
        </w:tabs>
        <w:ind w:left="720" w:hanging="360"/>
      </w:pPr>
      <w:rPr>
        <w:rFonts w:ascii="Arial" w:hAnsi="Arial" w:hint="default"/>
      </w:rPr>
    </w:lvl>
    <w:lvl w:ilvl="1" w:tplc="9A7E6320" w:tentative="1">
      <w:start w:val="1"/>
      <w:numFmt w:val="bullet"/>
      <w:lvlText w:val="•"/>
      <w:lvlJc w:val="left"/>
      <w:pPr>
        <w:tabs>
          <w:tab w:val="num" w:pos="1440"/>
        </w:tabs>
        <w:ind w:left="1440" w:hanging="360"/>
      </w:pPr>
      <w:rPr>
        <w:rFonts w:ascii="Arial" w:hAnsi="Arial" w:hint="default"/>
      </w:rPr>
    </w:lvl>
    <w:lvl w:ilvl="2" w:tplc="32A07076" w:tentative="1">
      <w:start w:val="1"/>
      <w:numFmt w:val="bullet"/>
      <w:lvlText w:val="•"/>
      <w:lvlJc w:val="left"/>
      <w:pPr>
        <w:tabs>
          <w:tab w:val="num" w:pos="2160"/>
        </w:tabs>
        <w:ind w:left="2160" w:hanging="360"/>
      </w:pPr>
      <w:rPr>
        <w:rFonts w:ascii="Arial" w:hAnsi="Arial" w:hint="default"/>
      </w:rPr>
    </w:lvl>
    <w:lvl w:ilvl="3" w:tplc="EC24A186" w:tentative="1">
      <w:start w:val="1"/>
      <w:numFmt w:val="bullet"/>
      <w:lvlText w:val="•"/>
      <w:lvlJc w:val="left"/>
      <w:pPr>
        <w:tabs>
          <w:tab w:val="num" w:pos="2880"/>
        </w:tabs>
        <w:ind w:left="2880" w:hanging="360"/>
      </w:pPr>
      <w:rPr>
        <w:rFonts w:ascii="Arial" w:hAnsi="Arial" w:hint="default"/>
      </w:rPr>
    </w:lvl>
    <w:lvl w:ilvl="4" w:tplc="33EC5CBC" w:tentative="1">
      <w:start w:val="1"/>
      <w:numFmt w:val="bullet"/>
      <w:lvlText w:val="•"/>
      <w:lvlJc w:val="left"/>
      <w:pPr>
        <w:tabs>
          <w:tab w:val="num" w:pos="3600"/>
        </w:tabs>
        <w:ind w:left="3600" w:hanging="360"/>
      </w:pPr>
      <w:rPr>
        <w:rFonts w:ascii="Arial" w:hAnsi="Arial" w:hint="default"/>
      </w:rPr>
    </w:lvl>
    <w:lvl w:ilvl="5" w:tplc="008404F4" w:tentative="1">
      <w:start w:val="1"/>
      <w:numFmt w:val="bullet"/>
      <w:lvlText w:val="•"/>
      <w:lvlJc w:val="left"/>
      <w:pPr>
        <w:tabs>
          <w:tab w:val="num" w:pos="4320"/>
        </w:tabs>
        <w:ind w:left="4320" w:hanging="360"/>
      </w:pPr>
      <w:rPr>
        <w:rFonts w:ascii="Arial" w:hAnsi="Arial" w:hint="default"/>
      </w:rPr>
    </w:lvl>
    <w:lvl w:ilvl="6" w:tplc="70443BA0" w:tentative="1">
      <w:start w:val="1"/>
      <w:numFmt w:val="bullet"/>
      <w:lvlText w:val="•"/>
      <w:lvlJc w:val="left"/>
      <w:pPr>
        <w:tabs>
          <w:tab w:val="num" w:pos="5040"/>
        </w:tabs>
        <w:ind w:left="5040" w:hanging="360"/>
      </w:pPr>
      <w:rPr>
        <w:rFonts w:ascii="Arial" w:hAnsi="Arial" w:hint="default"/>
      </w:rPr>
    </w:lvl>
    <w:lvl w:ilvl="7" w:tplc="B5FE4D38" w:tentative="1">
      <w:start w:val="1"/>
      <w:numFmt w:val="bullet"/>
      <w:lvlText w:val="•"/>
      <w:lvlJc w:val="left"/>
      <w:pPr>
        <w:tabs>
          <w:tab w:val="num" w:pos="5760"/>
        </w:tabs>
        <w:ind w:left="5760" w:hanging="360"/>
      </w:pPr>
      <w:rPr>
        <w:rFonts w:ascii="Arial" w:hAnsi="Arial" w:hint="default"/>
      </w:rPr>
    </w:lvl>
    <w:lvl w:ilvl="8" w:tplc="AF8AF0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CE74AB"/>
    <w:multiLevelType w:val="hybridMultilevel"/>
    <w:tmpl w:val="35A6758E"/>
    <w:lvl w:ilvl="0" w:tplc="390605CE">
      <w:start w:val="1"/>
      <w:numFmt w:val="bullet"/>
      <w:lvlText w:val="•"/>
      <w:lvlJc w:val="left"/>
      <w:pPr>
        <w:tabs>
          <w:tab w:val="num" w:pos="720"/>
        </w:tabs>
        <w:ind w:left="720" w:hanging="360"/>
      </w:pPr>
      <w:rPr>
        <w:rFonts w:ascii="Arial" w:hAnsi="Arial" w:hint="default"/>
      </w:rPr>
    </w:lvl>
    <w:lvl w:ilvl="1" w:tplc="E9B68D7E" w:tentative="1">
      <w:start w:val="1"/>
      <w:numFmt w:val="bullet"/>
      <w:lvlText w:val="•"/>
      <w:lvlJc w:val="left"/>
      <w:pPr>
        <w:tabs>
          <w:tab w:val="num" w:pos="1440"/>
        </w:tabs>
        <w:ind w:left="1440" w:hanging="360"/>
      </w:pPr>
      <w:rPr>
        <w:rFonts w:ascii="Arial" w:hAnsi="Arial" w:hint="default"/>
      </w:rPr>
    </w:lvl>
    <w:lvl w:ilvl="2" w:tplc="95A43E0C" w:tentative="1">
      <w:start w:val="1"/>
      <w:numFmt w:val="bullet"/>
      <w:lvlText w:val="•"/>
      <w:lvlJc w:val="left"/>
      <w:pPr>
        <w:tabs>
          <w:tab w:val="num" w:pos="2160"/>
        </w:tabs>
        <w:ind w:left="2160" w:hanging="360"/>
      </w:pPr>
      <w:rPr>
        <w:rFonts w:ascii="Arial" w:hAnsi="Arial" w:hint="default"/>
      </w:rPr>
    </w:lvl>
    <w:lvl w:ilvl="3" w:tplc="9DAEBED2" w:tentative="1">
      <w:start w:val="1"/>
      <w:numFmt w:val="bullet"/>
      <w:lvlText w:val="•"/>
      <w:lvlJc w:val="left"/>
      <w:pPr>
        <w:tabs>
          <w:tab w:val="num" w:pos="2880"/>
        </w:tabs>
        <w:ind w:left="2880" w:hanging="360"/>
      </w:pPr>
      <w:rPr>
        <w:rFonts w:ascii="Arial" w:hAnsi="Arial" w:hint="default"/>
      </w:rPr>
    </w:lvl>
    <w:lvl w:ilvl="4" w:tplc="F7041B8E" w:tentative="1">
      <w:start w:val="1"/>
      <w:numFmt w:val="bullet"/>
      <w:lvlText w:val="•"/>
      <w:lvlJc w:val="left"/>
      <w:pPr>
        <w:tabs>
          <w:tab w:val="num" w:pos="3600"/>
        </w:tabs>
        <w:ind w:left="3600" w:hanging="360"/>
      </w:pPr>
      <w:rPr>
        <w:rFonts w:ascii="Arial" w:hAnsi="Arial" w:hint="default"/>
      </w:rPr>
    </w:lvl>
    <w:lvl w:ilvl="5" w:tplc="64B25B2E" w:tentative="1">
      <w:start w:val="1"/>
      <w:numFmt w:val="bullet"/>
      <w:lvlText w:val="•"/>
      <w:lvlJc w:val="left"/>
      <w:pPr>
        <w:tabs>
          <w:tab w:val="num" w:pos="4320"/>
        </w:tabs>
        <w:ind w:left="4320" w:hanging="360"/>
      </w:pPr>
      <w:rPr>
        <w:rFonts w:ascii="Arial" w:hAnsi="Arial" w:hint="default"/>
      </w:rPr>
    </w:lvl>
    <w:lvl w:ilvl="6" w:tplc="67F47C98" w:tentative="1">
      <w:start w:val="1"/>
      <w:numFmt w:val="bullet"/>
      <w:lvlText w:val="•"/>
      <w:lvlJc w:val="left"/>
      <w:pPr>
        <w:tabs>
          <w:tab w:val="num" w:pos="5040"/>
        </w:tabs>
        <w:ind w:left="5040" w:hanging="360"/>
      </w:pPr>
      <w:rPr>
        <w:rFonts w:ascii="Arial" w:hAnsi="Arial" w:hint="default"/>
      </w:rPr>
    </w:lvl>
    <w:lvl w:ilvl="7" w:tplc="5EA453F8" w:tentative="1">
      <w:start w:val="1"/>
      <w:numFmt w:val="bullet"/>
      <w:lvlText w:val="•"/>
      <w:lvlJc w:val="left"/>
      <w:pPr>
        <w:tabs>
          <w:tab w:val="num" w:pos="5760"/>
        </w:tabs>
        <w:ind w:left="5760" w:hanging="360"/>
      </w:pPr>
      <w:rPr>
        <w:rFonts w:ascii="Arial" w:hAnsi="Arial" w:hint="default"/>
      </w:rPr>
    </w:lvl>
    <w:lvl w:ilvl="8" w:tplc="E800C7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C831F7"/>
    <w:multiLevelType w:val="hybridMultilevel"/>
    <w:tmpl w:val="0E18218C"/>
    <w:lvl w:ilvl="0" w:tplc="44EEE5D6">
      <w:start w:val="1"/>
      <w:numFmt w:val="bullet"/>
      <w:lvlText w:val="•"/>
      <w:lvlJc w:val="left"/>
      <w:pPr>
        <w:tabs>
          <w:tab w:val="num" w:pos="720"/>
        </w:tabs>
        <w:ind w:left="720" w:hanging="360"/>
      </w:pPr>
      <w:rPr>
        <w:rFonts w:ascii="Arial" w:hAnsi="Arial" w:hint="default"/>
      </w:rPr>
    </w:lvl>
    <w:lvl w:ilvl="1" w:tplc="F4389936" w:tentative="1">
      <w:start w:val="1"/>
      <w:numFmt w:val="bullet"/>
      <w:lvlText w:val="•"/>
      <w:lvlJc w:val="left"/>
      <w:pPr>
        <w:tabs>
          <w:tab w:val="num" w:pos="1440"/>
        </w:tabs>
        <w:ind w:left="1440" w:hanging="360"/>
      </w:pPr>
      <w:rPr>
        <w:rFonts w:ascii="Arial" w:hAnsi="Arial" w:hint="default"/>
      </w:rPr>
    </w:lvl>
    <w:lvl w:ilvl="2" w:tplc="14D6A864" w:tentative="1">
      <w:start w:val="1"/>
      <w:numFmt w:val="bullet"/>
      <w:lvlText w:val="•"/>
      <w:lvlJc w:val="left"/>
      <w:pPr>
        <w:tabs>
          <w:tab w:val="num" w:pos="2160"/>
        </w:tabs>
        <w:ind w:left="2160" w:hanging="360"/>
      </w:pPr>
      <w:rPr>
        <w:rFonts w:ascii="Arial" w:hAnsi="Arial" w:hint="default"/>
      </w:rPr>
    </w:lvl>
    <w:lvl w:ilvl="3" w:tplc="70F287F4" w:tentative="1">
      <w:start w:val="1"/>
      <w:numFmt w:val="bullet"/>
      <w:lvlText w:val="•"/>
      <w:lvlJc w:val="left"/>
      <w:pPr>
        <w:tabs>
          <w:tab w:val="num" w:pos="2880"/>
        </w:tabs>
        <w:ind w:left="2880" w:hanging="360"/>
      </w:pPr>
      <w:rPr>
        <w:rFonts w:ascii="Arial" w:hAnsi="Arial" w:hint="default"/>
      </w:rPr>
    </w:lvl>
    <w:lvl w:ilvl="4" w:tplc="31F85022" w:tentative="1">
      <w:start w:val="1"/>
      <w:numFmt w:val="bullet"/>
      <w:lvlText w:val="•"/>
      <w:lvlJc w:val="left"/>
      <w:pPr>
        <w:tabs>
          <w:tab w:val="num" w:pos="3600"/>
        </w:tabs>
        <w:ind w:left="3600" w:hanging="360"/>
      </w:pPr>
      <w:rPr>
        <w:rFonts w:ascii="Arial" w:hAnsi="Arial" w:hint="default"/>
      </w:rPr>
    </w:lvl>
    <w:lvl w:ilvl="5" w:tplc="BDC6D354" w:tentative="1">
      <w:start w:val="1"/>
      <w:numFmt w:val="bullet"/>
      <w:lvlText w:val="•"/>
      <w:lvlJc w:val="left"/>
      <w:pPr>
        <w:tabs>
          <w:tab w:val="num" w:pos="4320"/>
        </w:tabs>
        <w:ind w:left="4320" w:hanging="360"/>
      </w:pPr>
      <w:rPr>
        <w:rFonts w:ascii="Arial" w:hAnsi="Arial" w:hint="default"/>
      </w:rPr>
    </w:lvl>
    <w:lvl w:ilvl="6" w:tplc="DC86BE5A" w:tentative="1">
      <w:start w:val="1"/>
      <w:numFmt w:val="bullet"/>
      <w:lvlText w:val="•"/>
      <w:lvlJc w:val="left"/>
      <w:pPr>
        <w:tabs>
          <w:tab w:val="num" w:pos="5040"/>
        </w:tabs>
        <w:ind w:left="5040" w:hanging="360"/>
      </w:pPr>
      <w:rPr>
        <w:rFonts w:ascii="Arial" w:hAnsi="Arial" w:hint="default"/>
      </w:rPr>
    </w:lvl>
    <w:lvl w:ilvl="7" w:tplc="FDAEA4C6" w:tentative="1">
      <w:start w:val="1"/>
      <w:numFmt w:val="bullet"/>
      <w:lvlText w:val="•"/>
      <w:lvlJc w:val="left"/>
      <w:pPr>
        <w:tabs>
          <w:tab w:val="num" w:pos="5760"/>
        </w:tabs>
        <w:ind w:left="5760" w:hanging="360"/>
      </w:pPr>
      <w:rPr>
        <w:rFonts w:ascii="Arial" w:hAnsi="Arial" w:hint="default"/>
      </w:rPr>
    </w:lvl>
    <w:lvl w:ilvl="8" w:tplc="E44856BE"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4"/>
  </w:num>
  <w:num w:numId="3">
    <w:abstractNumId w:val="1"/>
  </w:num>
  <w:num w:numId="4">
    <w:abstractNumId w:val="13"/>
  </w:num>
  <w:num w:numId="5">
    <w:abstractNumId w:val="18"/>
  </w:num>
  <w:num w:numId="6">
    <w:abstractNumId w:val="8"/>
  </w:num>
  <w:num w:numId="7">
    <w:abstractNumId w:val="3"/>
  </w:num>
  <w:num w:numId="8">
    <w:abstractNumId w:val="9"/>
  </w:num>
  <w:num w:numId="9">
    <w:abstractNumId w:val="5"/>
  </w:num>
  <w:num w:numId="10">
    <w:abstractNumId w:val="10"/>
  </w:num>
  <w:num w:numId="11">
    <w:abstractNumId w:val="12"/>
  </w:num>
  <w:num w:numId="12">
    <w:abstractNumId w:val="15"/>
  </w:num>
  <w:num w:numId="13">
    <w:abstractNumId w:val="17"/>
  </w:num>
  <w:num w:numId="14">
    <w:abstractNumId w:val="19"/>
  </w:num>
  <w:num w:numId="15">
    <w:abstractNumId w:val="20"/>
  </w:num>
  <w:num w:numId="16">
    <w:abstractNumId w:val="6"/>
  </w:num>
  <w:num w:numId="17">
    <w:abstractNumId w:val="7"/>
  </w:num>
  <w:num w:numId="18">
    <w:abstractNumId w:val="4"/>
  </w:num>
  <w:num w:numId="19">
    <w:abstractNumId w:val="1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00"/>
    <w:rsid w:val="0009009E"/>
    <w:rsid w:val="00092B29"/>
    <w:rsid w:val="00094230"/>
    <w:rsid w:val="000A7C4A"/>
    <w:rsid w:val="000C15A7"/>
    <w:rsid w:val="000D2F64"/>
    <w:rsid w:val="000E3CC5"/>
    <w:rsid w:val="000F57FC"/>
    <w:rsid w:val="00124E31"/>
    <w:rsid w:val="00144779"/>
    <w:rsid w:val="00154018"/>
    <w:rsid w:val="001758C7"/>
    <w:rsid w:val="001B7D2E"/>
    <w:rsid w:val="001E2D00"/>
    <w:rsid w:val="00213361"/>
    <w:rsid w:val="00227680"/>
    <w:rsid w:val="002953CA"/>
    <w:rsid w:val="002A2911"/>
    <w:rsid w:val="002C4710"/>
    <w:rsid w:val="00317843"/>
    <w:rsid w:val="00330AA2"/>
    <w:rsid w:val="003518B9"/>
    <w:rsid w:val="00383B10"/>
    <w:rsid w:val="003A30B4"/>
    <w:rsid w:val="003B285B"/>
    <w:rsid w:val="003F4DB9"/>
    <w:rsid w:val="00430DCE"/>
    <w:rsid w:val="00497073"/>
    <w:rsid w:val="004C08D3"/>
    <w:rsid w:val="004C0F55"/>
    <w:rsid w:val="004C5851"/>
    <w:rsid w:val="004E2035"/>
    <w:rsid w:val="004E5A06"/>
    <w:rsid w:val="00547384"/>
    <w:rsid w:val="005500CE"/>
    <w:rsid w:val="00571167"/>
    <w:rsid w:val="00594489"/>
    <w:rsid w:val="005B2E9A"/>
    <w:rsid w:val="005C2B94"/>
    <w:rsid w:val="0065139C"/>
    <w:rsid w:val="006914B2"/>
    <w:rsid w:val="006A2EC6"/>
    <w:rsid w:val="006A5CEC"/>
    <w:rsid w:val="006A76BA"/>
    <w:rsid w:val="006C523E"/>
    <w:rsid w:val="006E49E5"/>
    <w:rsid w:val="00751557"/>
    <w:rsid w:val="00763640"/>
    <w:rsid w:val="00780BDC"/>
    <w:rsid w:val="007B367E"/>
    <w:rsid w:val="007B5000"/>
    <w:rsid w:val="007C227B"/>
    <w:rsid w:val="00810881"/>
    <w:rsid w:val="008807A2"/>
    <w:rsid w:val="008A7033"/>
    <w:rsid w:val="009361F8"/>
    <w:rsid w:val="009371C5"/>
    <w:rsid w:val="00952553"/>
    <w:rsid w:val="0095401E"/>
    <w:rsid w:val="00956267"/>
    <w:rsid w:val="009678BE"/>
    <w:rsid w:val="00971509"/>
    <w:rsid w:val="00990D37"/>
    <w:rsid w:val="009A1F23"/>
    <w:rsid w:val="00A011AF"/>
    <w:rsid w:val="00A03167"/>
    <w:rsid w:val="00A248CD"/>
    <w:rsid w:val="00A325F2"/>
    <w:rsid w:val="00A42D36"/>
    <w:rsid w:val="00A47F7D"/>
    <w:rsid w:val="00A54699"/>
    <w:rsid w:val="00A662AF"/>
    <w:rsid w:val="00AA4F03"/>
    <w:rsid w:val="00AC4C89"/>
    <w:rsid w:val="00AC66A4"/>
    <w:rsid w:val="00AD3E75"/>
    <w:rsid w:val="00AF5D7C"/>
    <w:rsid w:val="00B03C26"/>
    <w:rsid w:val="00B36C5A"/>
    <w:rsid w:val="00B439F3"/>
    <w:rsid w:val="00B45008"/>
    <w:rsid w:val="00B5290F"/>
    <w:rsid w:val="00B82676"/>
    <w:rsid w:val="00B90578"/>
    <w:rsid w:val="00BA6254"/>
    <w:rsid w:val="00BB01E8"/>
    <w:rsid w:val="00BB36DF"/>
    <w:rsid w:val="00BE0038"/>
    <w:rsid w:val="00BE6E79"/>
    <w:rsid w:val="00C01F2D"/>
    <w:rsid w:val="00C50010"/>
    <w:rsid w:val="00C55A80"/>
    <w:rsid w:val="00C90D82"/>
    <w:rsid w:val="00CB2F12"/>
    <w:rsid w:val="00CE7AB5"/>
    <w:rsid w:val="00D0030F"/>
    <w:rsid w:val="00D31BF5"/>
    <w:rsid w:val="00D32DAF"/>
    <w:rsid w:val="00D5227D"/>
    <w:rsid w:val="00D67E6D"/>
    <w:rsid w:val="00D81721"/>
    <w:rsid w:val="00D862F5"/>
    <w:rsid w:val="00D879D5"/>
    <w:rsid w:val="00D91A8A"/>
    <w:rsid w:val="00D95C08"/>
    <w:rsid w:val="00DA5946"/>
    <w:rsid w:val="00DB4379"/>
    <w:rsid w:val="00DE0B13"/>
    <w:rsid w:val="00DE7F73"/>
    <w:rsid w:val="00DF6E26"/>
    <w:rsid w:val="00E66609"/>
    <w:rsid w:val="00E940BA"/>
    <w:rsid w:val="00EB2971"/>
    <w:rsid w:val="00F00DB5"/>
    <w:rsid w:val="00F659D8"/>
    <w:rsid w:val="00FA37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C2D2"/>
  <w15:docId w15:val="{CA528654-A143-45CE-8E55-EFB2B094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2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D00"/>
    <w:rPr>
      <w:rFonts w:eastAsiaTheme="majorEastAsia" w:cstheme="majorBidi"/>
      <w:color w:val="272727" w:themeColor="text1" w:themeTint="D8"/>
    </w:rPr>
  </w:style>
  <w:style w:type="paragraph" w:styleId="Title">
    <w:name w:val="Title"/>
    <w:basedOn w:val="Normal"/>
    <w:next w:val="Normal"/>
    <w:link w:val="TitleChar"/>
    <w:uiPriority w:val="10"/>
    <w:qFormat/>
    <w:rsid w:val="001E2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D00"/>
    <w:pPr>
      <w:spacing w:before="160"/>
      <w:jc w:val="center"/>
    </w:pPr>
    <w:rPr>
      <w:i/>
      <w:iCs/>
      <w:color w:val="404040" w:themeColor="text1" w:themeTint="BF"/>
    </w:rPr>
  </w:style>
  <w:style w:type="character" w:customStyle="1" w:styleId="QuoteChar">
    <w:name w:val="Quote Char"/>
    <w:basedOn w:val="DefaultParagraphFont"/>
    <w:link w:val="Quote"/>
    <w:uiPriority w:val="29"/>
    <w:rsid w:val="001E2D00"/>
    <w:rPr>
      <w:i/>
      <w:iCs/>
      <w:color w:val="404040" w:themeColor="text1" w:themeTint="BF"/>
    </w:rPr>
  </w:style>
  <w:style w:type="paragraph" w:styleId="ListParagraph">
    <w:name w:val="List Paragraph"/>
    <w:basedOn w:val="Normal"/>
    <w:uiPriority w:val="34"/>
    <w:qFormat/>
    <w:rsid w:val="001E2D00"/>
    <w:pPr>
      <w:ind w:left="720"/>
      <w:contextualSpacing/>
    </w:pPr>
  </w:style>
  <w:style w:type="character" w:styleId="IntenseEmphasis">
    <w:name w:val="Intense Emphasis"/>
    <w:basedOn w:val="DefaultParagraphFont"/>
    <w:uiPriority w:val="21"/>
    <w:qFormat/>
    <w:rsid w:val="001E2D00"/>
    <w:rPr>
      <w:i/>
      <w:iCs/>
      <w:color w:val="0F4761" w:themeColor="accent1" w:themeShade="BF"/>
    </w:rPr>
  </w:style>
  <w:style w:type="paragraph" w:styleId="IntenseQuote">
    <w:name w:val="Intense Quote"/>
    <w:basedOn w:val="Normal"/>
    <w:next w:val="Normal"/>
    <w:link w:val="IntenseQuoteChar"/>
    <w:uiPriority w:val="30"/>
    <w:qFormat/>
    <w:rsid w:val="001E2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D00"/>
    <w:rPr>
      <w:i/>
      <w:iCs/>
      <w:color w:val="0F4761" w:themeColor="accent1" w:themeShade="BF"/>
    </w:rPr>
  </w:style>
  <w:style w:type="character" w:styleId="IntenseReference">
    <w:name w:val="Intense Reference"/>
    <w:basedOn w:val="DefaultParagraphFont"/>
    <w:uiPriority w:val="32"/>
    <w:qFormat/>
    <w:rsid w:val="001E2D00"/>
    <w:rPr>
      <w:b/>
      <w:bCs/>
      <w:smallCaps/>
      <w:color w:val="0F4761" w:themeColor="accent1" w:themeShade="BF"/>
      <w:spacing w:val="5"/>
    </w:rPr>
  </w:style>
  <w:style w:type="paragraph" w:styleId="NoSpacing">
    <w:name w:val="No Spacing"/>
    <w:link w:val="NoSpacingChar"/>
    <w:uiPriority w:val="1"/>
    <w:qFormat/>
    <w:rsid w:val="001E2D00"/>
    <w:pPr>
      <w:spacing w:after="0" w:line="240" w:lineRule="auto"/>
    </w:pPr>
  </w:style>
  <w:style w:type="paragraph" w:styleId="NormalWeb">
    <w:name w:val="Normal (Web)"/>
    <w:basedOn w:val="Normal"/>
    <w:uiPriority w:val="99"/>
    <w:semiHidden/>
    <w:unhideWhenUsed/>
    <w:rsid w:val="002953CA"/>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styleId="Header">
    <w:name w:val="header"/>
    <w:basedOn w:val="Normal"/>
    <w:link w:val="HeaderChar"/>
    <w:uiPriority w:val="99"/>
    <w:unhideWhenUsed/>
    <w:rsid w:val="007B3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67E"/>
  </w:style>
  <w:style w:type="paragraph" w:styleId="Footer">
    <w:name w:val="footer"/>
    <w:basedOn w:val="Normal"/>
    <w:link w:val="FooterChar"/>
    <w:uiPriority w:val="99"/>
    <w:unhideWhenUsed/>
    <w:rsid w:val="007B3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67E"/>
  </w:style>
  <w:style w:type="paragraph" w:styleId="FootnoteText">
    <w:name w:val="footnote text"/>
    <w:basedOn w:val="Normal"/>
    <w:link w:val="FootnoteTextChar"/>
    <w:uiPriority w:val="99"/>
    <w:semiHidden/>
    <w:unhideWhenUsed/>
    <w:rsid w:val="00B82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676"/>
    <w:rPr>
      <w:sz w:val="20"/>
      <w:szCs w:val="20"/>
    </w:rPr>
  </w:style>
  <w:style w:type="character" w:styleId="FootnoteReference">
    <w:name w:val="footnote reference"/>
    <w:aliases w:val="ftref,BVI fnr,BV,Ref,de nota al pie,Footnote,Footnote symbol,16 Point,Superscript 6 Point,Voetnootverwijzing,Times 10 Point,Exposant 3 Point,Footnote Ref,4_G,Superscript 10 Point,Footnote Reference Number,Footnote Reference_LVL6"/>
    <w:basedOn w:val="DefaultParagraphFont"/>
    <w:uiPriority w:val="99"/>
    <w:semiHidden/>
    <w:unhideWhenUsed/>
    <w:qFormat/>
    <w:rsid w:val="00B82676"/>
    <w:rPr>
      <w:vertAlign w:val="superscript"/>
    </w:rPr>
  </w:style>
  <w:style w:type="character" w:customStyle="1" w:styleId="NoSpacingChar">
    <w:name w:val="No Spacing Char"/>
    <w:basedOn w:val="DefaultParagraphFont"/>
    <w:link w:val="NoSpacing"/>
    <w:uiPriority w:val="1"/>
    <w:rsid w:val="00C90D82"/>
  </w:style>
  <w:style w:type="paragraph" w:customStyle="1" w:styleId="Default">
    <w:name w:val="Default"/>
    <w:rsid w:val="00751557"/>
    <w:pPr>
      <w:autoSpaceDE w:val="0"/>
      <w:autoSpaceDN w:val="0"/>
      <w:adjustRightInd w:val="0"/>
      <w:spacing w:after="0" w:line="240" w:lineRule="auto"/>
    </w:pPr>
    <w:rPr>
      <w:rFonts w:ascii="Montserrat" w:hAnsi="Montserrat" w:cs="Montserrat"/>
      <w:color w:val="000000"/>
      <w:kern w:val="0"/>
      <w:sz w:val="24"/>
      <w:szCs w:val="24"/>
    </w:rPr>
  </w:style>
  <w:style w:type="paragraph" w:styleId="BalloonText">
    <w:name w:val="Balloon Text"/>
    <w:basedOn w:val="Normal"/>
    <w:link w:val="BalloonTextChar"/>
    <w:uiPriority w:val="99"/>
    <w:semiHidden/>
    <w:unhideWhenUsed/>
    <w:rsid w:val="00DE0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deas.repec.org/s/ilo/ilowps.html" TargetMode="External"/><Relationship Id="rId1" Type="http://schemas.openxmlformats.org/officeDocument/2006/relationships/hyperlink" Target="https://ideas.repec.org/p/ilo/ilowps/9948758034026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D1AA7-9BEF-4CFE-8140-F550F7CD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7674</Words>
  <Characters>43747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Godfrey  Kanyenze</dc:creator>
  <cp:lastModifiedBy>The Worker</cp:lastModifiedBy>
  <cp:revision>2</cp:revision>
  <cp:lastPrinted>2025-12-17T07:11:00Z</cp:lastPrinted>
  <dcterms:created xsi:type="dcterms:W3CDTF">2025-12-18T13:47:00Z</dcterms:created>
  <dcterms:modified xsi:type="dcterms:W3CDTF">2025-12-18T13:47:00Z</dcterms:modified>
</cp:coreProperties>
</file>